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Indent3"/>
        <w:widowControl/>
        <w:bidi w:val="0"/>
        <w:spacing w:before="0" w:after="0"/>
        <w:ind w:hanging="0" w:left="0" w:right="0"/>
        <w:jc w:val="center"/>
        <w:rPr>
          <w:rFonts w:ascii="PT Astra Serif" w:hAnsi="PT Astra Serif"/>
          <w:color w:val="000000"/>
          <w:sz w:val="24"/>
          <w:szCs w:val="24"/>
        </w:rPr>
      </w:pPr>
      <w:r>
        <w:rPr>
          <w:rFonts w:ascii="PT Astra Serif" w:hAnsi="PT Astra Serif"/>
          <w:color w:val="000000"/>
          <w:sz w:val="24"/>
          <w:szCs w:val="24"/>
        </w:rPr>
        <w:t>Извещение</w:t>
      </w:r>
    </w:p>
    <w:p>
      <w:pPr>
        <w:pStyle w:val="BodyTextIndent3"/>
        <w:ind w:firstLine="709" w:left="0"/>
        <w:rPr>
          <w:rFonts w:ascii="PT Astra Serif" w:hAnsi="PT Astra Serif"/>
          <w:color w:val="000000"/>
          <w:sz w:val="24"/>
          <w:szCs w:val="24"/>
        </w:rPr>
      </w:pPr>
      <w:r>
        <w:rPr>
          <w:rFonts w:ascii="PT Astra Serif" w:hAnsi="PT Astra Serif"/>
          <w:color w:val="000000"/>
          <w:sz w:val="24"/>
          <w:szCs w:val="24"/>
        </w:rPr>
        <w:t xml:space="preserve">о проведении электронного аукциона по продаже земельных участков </w:t>
        <w:br/>
        <w:t>с кадастровыми номерами 71:30:020219:1831, 71:30:070211:11</w:t>
      </w:r>
    </w:p>
    <w:p>
      <w:pPr>
        <w:pStyle w:val="BodyTextIndent3"/>
        <w:ind w:firstLine="709" w:left="180"/>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 xml:space="preserve">Организатор аукциона: </w:t>
      </w:r>
      <w:r>
        <w:rPr>
          <w:rFonts w:ascii="PT Astra Serif" w:hAnsi="PT Astra Serif"/>
          <w:color w:val="000000"/>
          <w:sz w:val="24"/>
          <w:szCs w:val="24"/>
        </w:rPr>
        <w:t xml:space="preserve">Комитет имущественных и земельных отношений администрации города Тулы. </w:t>
      </w:r>
    </w:p>
    <w:p>
      <w:pPr>
        <w:pStyle w:val="Normal"/>
        <w:ind w:firstLine="709"/>
        <w:jc w:val="both"/>
        <w:rPr/>
      </w:pPr>
      <w:r>
        <w:rPr>
          <w:rFonts w:ascii="PT Astra Serif" w:hAnsi="PT Astra Serif"/>
          <w:color w:val="000000"/>
          <w:sz w:val="24"/>
          <w:szCs w:val="24"/>
        </w:rPr>
        <w:t xml:space="preserve">Адрес: 300034, город Тула, ул. Гоголевская, 73, тел. +7 (4872) 52-07-00 доб. 735, 738. Адрес электронной почты: </w:t>
      </w:r>
      <w:hyperlink r:id="rId2">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ИНН 7102005410.</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Контактное лицо: </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Ломакин Дмитрий Яковлевич – начальник отдела проведения торгов комитета имущественных и земельных отношений администрации города Тулы; </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Лепилова Елена Николаевна – консультант отдела проведения торгов комитета имущественных и земельных отношений администрации города Тулы.</w:t>
      </w:r>
    </w:p>
    <w:p>
      <w:pPr>
        <w:pStyle w:val="Normal"/>
        <w:widowControl w:val="false"/>
        <w:tabs>
          <w:tab w:val="clear" w:pos="708"/>
          <w:tab w:val="left" w:pos="709" w:leader="none"/>
          <w:tab w:val="left" w:pos="3600" w:leader="none"/>
        </w:tabs>
        <w:ind w:firstLine="709"/>
        <w:jc w:val="both"/>
        <w:rPr/>
      </w:pPr>
      <w:r>
        <w:rPr>
          <w:rFonts w:ascii="PT Astra Serif" w:hAnsi="PT Astra Serif"/>
          <w:b/>
          <w:color w:val="000000"/>
          <w:sz w:val="24"/>
          <w:szCs w:val="24"/>
        </w:rPr>
        <w:t>Оператор электронной площадки:</w:t>
      </w:r>
      <w:r>
        <w:rPr>
          <w:rFonts w:ascii="PT Astra Serif" w:hAnsi="PT Astra Serif"/>
          <w:color w:val="000000"/>
          <w:sz w:val="24"/>
          <w:szCs w:val="24"/>
        </w:rPr>
        <w:t xml:space="preserve"> АО «Сбербанк-АСТ», владеющее сайтом </w:t>
      </w:r>
      <w:hyperlink r:id="rId3">
        <w:r>
          <w:rPr>
            <w:rStyle w:val="Style7"/>
            <w:rFonts w:ascii="PT Astra Serif" w:hAnsi="PT Astra Serif"/>
            <w:color w:val="000000"/>
            <w:sz w:val="24"/>
            <w:szCs w:val="24"/>
            <w:u w:val="single"/>
          </w:rPr>
          <w:t>http</w:t>
        </w:r>
        <w:r>
          <w:rPr>
            <w:rStyle w:val="Style7"/>
            <w:rFonts w:ascii="PT Astra Serif" w:hAnsi="PT Astra Serif"/>
            <w:color w:val="000000"/>
            <w:sz w:val="24"/>
            <w:szCs w:val="24"/>
            <w:u w:val="single"/>
            <w:lang w:val="en-US"/>
          </w:rPr>
          <w:t>s</w:t>
        </w:r>
        <w:r>
          <w:rPr>
            <w:rStyle w:val="Style7"/>
            <w:rFonts w:ascii="PT Astra Serif" w:hAnsi="PT Astra Serif"/>
            <w:color w:val="000000"/>
            <w:sz w:val="24"/>
            <w:szCs w:val="24"/>
            <w:u w:val="single"/>
          </w:rPr>
          <w:t>://utp.sberbank-ast.ru/AP</w:t>
        </w:r>
      </w:hyperlink>
      <w:r>
        <w:rPr>
          <w:rFonts w:ascii="PT Astra Serif" w:hAnsi="PT Astra Serif"/>
          <w:color w:val="000000"/>
          <w:sz w:val="24"/>
          <w:szCs w:val="24"/>
        </w:rPr>
        <w:t xml:space="preserve"> в информационно-телекоммуникационной сети «Интернет».</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Адрес: 119435, г. Москва, Большой Саввинский переулок, д. 12, стр. 9, </w:t>
        <w:br/>
        <w:t>тел. 8 (495) 787-29-97.</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Е</w:t>
      </w:r>
      <w:r>
        <w:rPr>
          <w:rFonts w:ascii="PT Astra Serif" w:hAnsi="PT Astra Serif"/>
          <w:color w:val="000000"/>
          <w:sz w:val="24"/>
          <w:szCs w:val="24"/>
          <w:lang w:val="en-US"/>
        </w:rPr>
        <w:t xml:space="preserve">-mail: </w:t>
      </w:r>
      <w:r>
        <w:rPr>
          <w:rFonts w:eastAsia="Calibri" w:ascii="PT Astra Serif" w:hAnsi="PT Astra Serif"/>
          <w:color w:val="000000"/>
          <w:sz w:val="24"/>
          <w:szCs w:val="24"/>
          <w:lang w:val="en-US"/>
        </w:rPr>
        <w:t>info@sberbank-ast.ru.</w:t>
      </w:r>
    </w:p>
    <w:p>
      <w:pPr>
        <w:pStyle w:val="Default"/>
        <w:ind w:firstLine="709"/>
        <w:jc w:val="both"/>
        <w:rPr/>
      </w:pPr>
      <w:r>
        <w:rPr>
          <w:rFonts w:eastAsia="Calibri" w:ascii="PT Astra Serif" w:hAnsi="PT Astra Serif"/>
          <w:color w:val="000000"/>
          <w:sz w:val="24"/>
          <w:szCs w:val="24"/>
        </w:rPr>
        <w:t>Адрес электронной площадки в информационно-телекоммуникационной сети «Интернет»:</w:t>
      </w:r>
      <w:r>
        <w:rPr>
          <w:rFonts w:eastAsia="Calibri" w:ascii="PT Astra Serif" w:hAnsi="PT Astra Serif"/>
          <w:b/>
          <w:color w:val="000000"/>
          <w:sz w:val="24"/>
          <w:szCs w:val="24"/>
        </w:rPr>
        <w:t xml:space="preserve"> </w:t>
      </w:r>
      <w:hyperlink r:id="rId4">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Уполномоченный орган:</w:t>
      </w:r>
      <w:r>
        <w:rPr>
          <w:rFonts w:ascii="PT Astra Serif" w:hAnsi="PT Astra Serif"/>
          <w:color w:val="000000"/>
          <w:sz w:val="24"/>
          <w:szCs w:val="24"/>
        </w:rPr>
        <w:t xml:space="preserve"> Комитет имущественных и земельных отношений администрации города Тулы.</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Адрес: 300034, город Тула, ул. Гоголевская, 73, тел. +7 (4872) 52-07-00. </w:t>
      </w:r>
    </w:p>
    <w:p>
      <w:pPr>
        <w:pStyle w:val="Normal"/>
        <w:ind w:firstLine="709"/>
        <w:jc w:val="both"/>
        <w:rPr/>
      </w:pPr>
      <w:r>
        <w:rPr>
          <w:rFonts w:ascii="PT Astra Serif" w:hAnsi="PT Astra Serif"/>
          <w:color w:val="000000"/>
          <w:sz w:val="24"/>
          <w:szCs w:val="24"/>
        </w:rPr>
        <w:t xml:space="preserve">Адрес электронной почты: </w:t>
      </w:r>
      <w:hyperlink r:id="rId5">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ИНН 7102005410.</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 xml:space="preserve">Реквизиты решения о проведении аукциона: </w:t>
      </w:r>
      <w:r>
        <w:rPr>
          <w:rFonts w:ascii="PT Astra Serif" w:hAnsi="PT Astra Serif"/>
          <w:color w:val="000000"/>
          <w:sz w:val="24"/>
          <w:szCs w:val="24"/>
        </w:rPr>
        <w:t xml:space="preserve">аукцион по продаже земельных участков с кадастровыми номерами 71:30:020219:1831, 71:30:070211:11 проводится в электронной форме в соответствии с Земельным кодексом РФ, Гражданским кодексом РФ, решением Тульской городской Думы от 27.05.2015 № 12/280 «О полномочиях органов местного самоуправления муниципального образования город Тула в области земельных отношений», распоряжениями администрации города Тулы от 21.08.2024 № 1/5718-р «О проведении аукциона по продаже земельного участка с кадастровым номером 71:30:020219:1831», от 04.03.2026 № 1/1487-р </w:t>
        <w:br/>
        <w:t>«О проведении аукциона по продаже земельного участка с кадастровым номером 71:30:070211:11».</w:t>
      </w:r>
    </w:p>
    <w:p>
      <w:pPr>
        <w:pStyle w:val="Default"/>
        <w:ind w:firstLine="709"/>
        <w:jc w:val="both"/>
        <w:rPr/>
      </w:pPr>
      <w:r>
        <w:rPr>
          <w:rFonts w:ascii="PT Astra Serif" w:hAnsi="PT Astra Serif"/>
          <w:b/>
          <w:bCs/>
          <w:color w:val="000000"/>
          <w:sz w:val="24"/>
          <w:szCs w:val="24"/>
        </w:rPr>
        <w:t xml:space="preserve">Место проведения аукциона: </w:t>
      </w:r>
      <w:r>
        <w:rPr>
          <w:rFonts w:ascii="PT Astra Serif" w:hAnsi="PT Astra Serif"/>
          <w:color w:val="000000"/>
          <w:sz w:val="24"/>
          <w:szCs w:val="24"/>
        </w:rPr>
        <w:t>электронная площадка АО «Сбербанк - АСТ» (</w:t>
      </w:r>
      <w:hyperlink r:id="rId6">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Normal"/>
        <w:ind w:firstLine="709"/>
        <w:jc w:val="both"/>
        <w:rPr/>
      </w:pPr>
      <w:r>
        <w:rPr>
          <w:rFonts w:ascii="PT Astra Serif" w:hAnsi="PT Astra Serif"/>
          <w:b/>
          <w:bCs/>
          <w:color w:val="000000"/>
          <w:sz w:val="24"/>
          <w:szCs w:val="24"/>
        </w:rPr>
        <w:t xml:space="preserve">Место приема заявок на участие в аукционе (далее – Заявок): </w:t>
      </w:r>
      <w:r>
        <w:rPr>
          <w:rFonts w:ascii="PT Astra Serif" w:hAnsi="PT Astra Serif"/>
          <w:color w:val="000000"/>
          <w:sz w:val="24"/>
          <w:szCs w:val="24"/>
        </w:rPr>
        <w:t xml:space="preserve">электронная площадка  </w:t>
      </w:r>
      <w:r>
        <w:rPr>
          <w:rFonts w:ascii="PT Astra Serif" w:hAnsi="PT Astra Serif"/>
          <w:bCs/>
          <w:color w:val="000000"/>
          <w:sz w:val="24"/>
          <w:szCs w:val="24"/>
        </w:rPr>
        <w:t>АО «Сбербанк - АСТ» (</w:t>
      </w:r>
      <w:hyperlink r:id="rId7">
        <w:r>
          <w:rPr>
            <w:rStyle w:val="Hyperlink"/>
            <w:rFonts w:ascii="PT Astra Serif" w:hAnsi="PT Astra Serif"/>
            <w:bCs/>
            <w:color w:val="000000"/>
            <w:sz w:val="24"/>
            <w:szCs w:val="24"/>
          </w:rPr>
          <w:t>http://utp.sberbank-ast.ru</w:t>
        </w:r>
      </w:hyperlink>
      <w:r>
        <w:rPr>
          <w:rFonts w:ascii="PT Astra Serif" w:hAnsi="PT Astra Serif"/>
          <w:bCs/>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 xml:space="preserve">Вид договора: </w:t>
      </w:r>
      <w:r>
        <w:rPr>
          <w:rFonts w:ascii="PT Astra Serif" w:hAnsi="PT Astra Serif"/>
          <w:color w:val="000000"/>
          <w:sz w:val="24"/>
          <w:szCs w:val="24"/>
        </w:rPr>
        <w:t>договор купли - продажи</w:t>
      </w:r>
      <w:r>
        <w:rPr>
          <w:rFonts w:ascii="PT Astra Serif" w:hAnsi="PT Astra Serif"/>
          <w:b/>
          <w:color w:val="000000"/>
          <w:sz w:val="24"/>
          <w:szCs w:val="24"/>
        </w:rPr>
        <w:t xml:space="preserve"> </w:t>
      </w:r>
      <w:r>
        <w:rPr>
          <w:rFonts w:ascii="PT Astra Serif" w:hAnsi="PT Astra Serif"/>
          <w:color w:val="000000"/>
          <w:sz w:val="24"/>
          <w:szCs w:val="24"/>
        </w:rPr>
        <w:t>земельного участка</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Осмотр земельного участка</w:t>
      </w:r>
      <w:r>
        <w:rPr>
          <w:rFonts w:ascii="PT Astra Serif" w:hAnsi="PT Astra Serif"/>
          <w:bCs/>
          <w:color w:val="000000"/>
          <w:sz w:val="24"/>
          <w:szCs w:val="24"/>
        </w:rPr>
        <w:t xml:space="preserve"> </w:t>
      </w:r>
      <w:r>
        <w:rPr>
          <w:rFonts w:ascii="PT Astra Serif" w:hAnsi="PT Astra Serif"/>
          <w:color w:val="000000"/>
          <w:sz w:val="24"/>
          <w:szCs w:val="24"/>
        </w:rPr>
        <w:t>производится заявителями самостоятельно.</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 xml:space="preserve">Требование к заявителям: </w:t>
      </w:r>
      <w:r>
        <w:rPr>
          <w:rFonts w:ascii="PT Astra Serif" w:hAnsi="PT Astra Serif"/>
          <w:bCs/>
          <w:color w:val="000000"/>
          <w:sz w:val="24"/>
          <w:szCs w:val="24"/>
        </w:rPr>
        <w:t>участниками аукциона могут являться только граждане</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 xml:space="preserve">Дата размещения извещения: </w:t>
      </w:r>
      <w:r>
        <w:rPr>
          <w:rFonts w:ascii="PT Astra Serif" w:hAnsi="PT Astra Serif"/>
          <w:bCs/>
          <w:color w:val="000000"/>
          <w:sz w:val="24"/>
          <w:szCs w:val="24"/>
        </w:rPr>
        <w:t>«03» июня 2026 г.</w:t>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Дата и время начала приема Заявок</w:t>
      </w:r>
      <w:r>
        <w:rPr>
          <w:rFonts w:ascii="PT Astra Serif" w:hAnsi="PT Astra Serif"/>
          <w:color w:val="000000"/>
          <w:sz w:val="24"/>
          <w:szCs w:val="24"/>
        </w:rPr>
        <w:t xml:space="preserve">: </w:t>
      </w:r>
      <w:r>
        <w:rPr>
          <w:rFonts w:ascii="PT Astra Serif" w:hAnsi="PT Astra Serif"/>
          <w:bCs/>
          <w:color w:val="000000"/>
          <w:sz w:val="24"/>
          <w:szCs w:val="24"/>
        </w:rPr>
        <w:t xml:space="preserve">«04» июня 2026 г. в 09 час. 00 мин. </w:t>
      </w:r>
      <w:r>
        <w:rPr>
          <w:rFonts w:ascii="PT Astra Serif" w:hAnsi="PT Astra Serif"/>
          <w:color w:val="000000"/>
          <w:sz w:val="24"/>
          <w:szCs w:val="24"/>
        </w:rPr>
        <w:t>Прием Заявок осуществляется круглосуточно.</w:t>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 xml:space="preserve">Дата и время окончания срока приема Заявок и начала их рассмотрения: </w:t>
        <w:br/>
      </w:r>
      <w:r>
        <w:rPr>
          <w:rFonts w:ascii="PT Astra Serif" w:hAnsi="PT Astra Serif"/>
          <w:bCs/>
          <w:color w:val="000000"/>
          <w:sz w:val="24"/>
          <w:szCs w:val="24"/>
        </w:rPr>
        <w:t>«19» июня 2026 г. в 12 час. 00 мин.</w:t>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 xml:space="preserve">Дата окончания рассмотрения Заявок: </w:t>
      </w:r>
      <w:r>
        <w:rPr>
          <w:rFonts w:ascii="PT Astra Serif" w:hAnsi="PT Astra Serif"/>
          <w:bCs/>
          <w:color w:val="000000"/>
          <w:sz w:val="24"/>
          <w:szCs w:val="24"/>
        </w:rPr>
        <w:t>«23» июня 2026 г.</w:t>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 xml:space="preserve">Дата и время начала проведения аукциона: </w:t>
      </w:r>
      <w:r>
        <w:rPr>
          <w:rFonts w:ascii="PT Astra Serif" w:hAnsi="PT Astra Serif"/>
          <w:bCs/>
          <w:color w:val="000000"/>
          <w:sz w:val="24"/>
          <w:szCs w:val="24"/>
        </w:rPr>
        <w:t>«24» июня 2026 г. в 11 час. 00 мин.</w:t>
      </w:r>
    </w:p>
    <w:p>
      <w:pPr>
        <w:pStyle w:val="Normal"/>
        <w:ind w:firstLine="709"/>
        <w:jc w:val="both"/>
        <w:rPr>
          <w:rFonts w:ascii="PT Astra Serif" w:hAnsi="PT Astra Serif"/>
          <w:b/>
          <w:bCs/>
          <w:color w:val="000000"/>
          <w:sz w:val="24"/>
          <w:szCs w:val="24"/>
        </w:rPr>
      </w:pPr>
      <w:r>
        <w:rPr>
          <w:rFonts w:ascii="PT Astra Serif" w:hAnsi="PT Astra Serif"/>
          <w:b/>
          <w:bCs/>
          <w:color w:val="000000"/>
          <w:sz w:val="24"/>
          <w:szCs w:val="24"/>
        </w:rPr>
      </w:r>
    </w:p>
    <w:p>
      <w:pPr>
        <w:pStyle w:val="Normal"/>
        <w:ind w:firstLine="709"/>
        <w:jc w:val="both"/>
        <w:rPr>
          <w:rFonts w:ascii="PT Astra Serif" w:hAnsi="PT Astra Serif"/>
          <w:b/>
          <w:bCs/>
          <w:color w:val="000000"/>
          <w:sz w:val="24"/>
          <w:szCs w:val="24"/>
        </w:rPr>
      </w:pPr>
      <w:r>
        <w:rPr>
          <w:rFonts w:ascii="PT Astra Serif" w:hAnsi="PT Astra Serif"/>
          <w:b/>
          <w:bCs/>
          <w:color w:val="000000"/>
          <w:sz w:val="24"/>
          <w:szCs w:val="24"/>
        </w:rPr>
        <w:t>Предмет аукциона:</w:t>
      </w:r>
    </w:p>
    <w:tbl>
      <w:tblPr>
        <w:tblW w:w="9923"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395"/>
        <w:gridCol w:w="6528"/>
      </w:tblGrid>
      <w:tr>
        <w:trPr/>
        <w:tc>
          <w:tcPr>
            <w:tcW w:w="9923"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b/>
                <w:color w:val="000000"/>
                <w:sz w:val="22"/>
                <w:szCs w:val="22"/>
              </w:rPr>
              <w:t>Лот 1</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Кадастровый номер,</w:t>
            </w:r>
          </w:p>
          <w:p>
            <w:pPr>
              <w:pStyle w:val="Normal"/>
              <w:widowControl w:val="false"/>
              <w:rPr>
                <w:rFonts w:ascii="PT Astra Serif" w:hAnsi="PT Astra Serif"/>
                <w:color w:val="000000"/>
                <w:sz w:val="22"/>
                <w:szCs w:val="22"/>
              </w:rPr>
            </w:pPr>
            <w:r>
              <w:rPr>
                <w:rFonts w:ascii="PT Astra Serif" w:hAnsi="PT Astra Serif"/>
                <w:color w:val="000000"/>
                <w:sz w:val="22"/>
                <w:szCs w:val="22"/>
              </w:rPr>
              <w:t>площадь, кв. м</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земельный участок с кадастровым номером 71:30:020219:1831, площадью 998 кв. м</w:t>
            </w:r>
          </w:p>
        </w:tc>
      </w:tr>
      <w:tr>
        <w:trPr>
          <w:trHeight w:val="667" w:hRule="atLeast"/>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Адрес</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Российская Федерация, Тульская область, г. Тула, Привокзальный район, ул. Привокзальная</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Категория земель</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земли населенных пунктов</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Вид разрешенного использования</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для индивидуального жилищного строительства</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Форма собственности</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муниципальная</w:t>
            </w:r>
          </w:p>
        </w:tc>
      </w:tr>
      <w:tr>
        <w:trPr/>
        <w:tc>
          <w:tcPr>
            <w:tcW w:w="3395" w:type="dxa"/>
            <w:tcBorders>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Сведения о ранее проведенных торгах</w:t>
            </w:r>
          </w:p>
        </w:tc>
        <w:tc>
          <w:tcPr>
            <w:tcW w:w="6528" w:type="dxa"/>
            <w:tcBorders>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24.11.2025 - не состоялся (</w:t>
            </w:r>
            <w:r>
              <w:rPr>
                <w:rFonts w:eastAsia="Times New Roman" w:cs="Times New Roman" w:ascii="PT Astra Serif" w:hAnsi="PT Astra Serif"/>
                <w:b w:val="false"/>
                <w:bCs w:val="false"/>
                <w:i w:val="false"/>
                <w:iCs w:val="false"/>
                <w:caps w:val="false"/>
                <w:smallCaps w:val="false"/>
                <w:color w:val="000000"/>
                <w:kern w:val="0"/>
                <w:sz w:val="22"/>
                <w:szCs w:val="22"/>
                <w:lang w:val="en-US" w:eastAsia="en-US" w:bidi="ar-SA"/>
              </w:rPr>
              <w:t>по окончании срока подачи заявок на участие в аукционе не подано ни одной заявки на участие в аукционе</w:t>
            </w:r>
            <w:r>
              <w:rPr>
                <w:rFonts w:ascii="PT Astra Serif" w:hAnsi="PT Astra Serif"/>
                <w:color w:val="000000"/>
                <w:sz w:val="22"/>
                <w:szCs w:val="22"/>
              </w:rPr>
              <w:t>)</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2"/>
                <w:szCs w:val="22"/>
              </w:rPr>
            </w:pPr>
            <w:r>
              <w:rPr>
                <w:rFonts w:ascii="PT Astra Serif" w:hAnsi="PT Astra Serif"/>
                <w:color w:val="000000"/>
                <w:sz w:val="22"/>
                <w:szCs w:val="22"/>
              </w:rPr>
              <w:t>Начальная цена</w:t>
            </w:r>
          </w:p>
          <w:p>
            <w:pPr>
              <w:pStyle w:val="Normal"/>
              <w:widowControl w:val="false"/>
              <w:rPr>
                <w:rFonts w:ascii="PT Astra Serif" w:hAnsi="PT Astra Serif"/>
                <w:color w:val="000000"/>
                <w:sz w:val="22"/>
                <w:szCs w:val="22"/>
              </w:rPr>
            </w:pPr>
            <w:r>
              <w:rPr>
                <w:rFonts w:ascii="PT Astra Serif" w:hAnsi="PT Astra Serif"/>
                <w:color w:val="000000"/>
                <w:sz w:val="22"/>
                <w:szCs w:val="22"/>
              </w:rPr>
              <w:t>в рублях (НДС не облагается)</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2 300 000,00 (Два миллиона триста тысяч) рублей 00 копеек.</w:t>
            </w:r>
          </w:p>
          <w:p>
            <w:pPr>
              <w:pStyle w:val="Normal"/>
              <w:widowControl w:val="false"/>
              <w:rPr>
                <w:rFonts w:ascii="PT Astra Serif" w:hAnsi="PT Astra Serif"/>
                <w:color w:val="000000"/>
                <w:sz w:val="22"/>
                <w:szCs w:val="22"/>
              </w:rPr>
            </w:pPr>
            <w:r>
              <w:rPr>
                <w:rFonts w:ascii="PT Astra Serif" w:hAnsi="PT Astra Serif"/>
                <w:color w:val="000000"/>
                <w:sz w:val="22"/>
                <w:szCs w:val="22"/>
              </w:rPr>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Сумма задатка в размере 100% от начальной цены объекта (руб.)</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2 300 000,00 (Два миллиона триста тысяч) рублей 00 копеек</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Шаг аукциона в размере 3% от начальной цены (руб.)</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69 000,00 (Шестьдесят девять тысяч) рублей 00 копеек</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Ограничения (обременения)</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 выписка из ЕГРН от 05.05.2026 № КУВИ-001/2026-61384645 (Приложение 3);</w:t>
            </w:r>
          </w:p>
          <w:p>
            <w:pPr>
              <w:pStyle w:val="Normal"/>
              <w:widowControl w:val="false"/>
              <w:rPr>
                <w:rFonts w:ascii="PT Astra Serif" w:hAnsi="PT Astra Serif"/>
                <w:color w:val="000000"/>
                <w:sz w:val="22"/>
                <w:szCs w:val="22"/>
              </w:rPr>
            </w:pPr>
            <w:r>
              <w:rPr>
                <w:rFonts w:ascii="PT Astra Serif" w:hAnsi="PT Astra Serif"/>
                <w:color w:val="000000"/>
                <w:sz w:val="22"/>
                <w:szCs w:val="22"/>
              </w:rPr>
              <w:t>- градостроительный план № РФ-71-2-26-0-00-2025-4120-0 (Приложение 5);</w:t>
            </w:r>
          </w:p>
          <w:p>
            <w:pPr>
              <w:pStyle w:val="Normal"/>
              <w:widowControl w:val="false"/>
              <w:rPr>
                <w:rFonts w:ascii="PT Astra Serif" w:hAnsi="PT Astra Serif"/>
                <w:color w:val="000000"/>
                <w:sz w:val="22"/>
                <w:szCs w:val="22"/>
              </w:rPr>
            </w:pPr>
            <w:r>
              <w:rPr>
                <w:rFonts w:ascii="PT Astra Serif" w:hAnsi="PT Astra Serif"/>
                <w:color w:val="000000"/>
                <w:sz w:val="22"/>
                <w:szCs w:val="22"/>
              </w:rPr>
              <w:t>- письмо инспекции Тульской области по государственной охране объектов культурного наследия от 30.04.2026 № 47-17/999 (Приложение 6).</w:t>
            </w:r>
          </w:p>
        </w:tc>
      </w:tr>
    </w:tbl>
    <w:p>
      <w:pPr>
        <w:pStyle w:val="Normal"/>
        <w:ind w:firstLine="709"/>
        <w:jc w:val="both"/>
        <w:rPr>
          <w:rFonts w:ascii="PT Astra Serif" w:hAnsi="PT Astra Serif"/>
          <w:b/>
          <w:bCs/>
          <w:color w:val="000000"/>
          <w:sz w:val="24"/>
          <w:szCs w:val="24"/>
        </w:rPr>
      </w:pPr>
      <w:r>
        <w:rPr>
          <w:rFonts w:ascii="PT Astra Serif" w:hAnsi="PT Astra Serif"/>
          <w:b/>
          <w:bCs/>
          <w:color w:val="000000"/>
          <w:sz w:val="24"/>
          <w:szCs w:val="24"/>
        </w:rPr>
      </w:r>
    </w:p>
    <w:tbl>
      <w:tblPr>
        <w:tblW w:w="9923"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395"/>
        <w:gridCol w:w="6528"/>
      </w:tblGrid>
      <w:tr>
        <w:trPr/>
        <w:tc>
          <w:tcPr>
            <w:tcW w:w="9923"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b/>
                <w:color w:val="000000"/>
                <w:sz w:val="22"/>
                <w:szCs w:val="22"/>
              </w:rPr>
              <w:t>Лот 2</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Кадастровый номер,</w:t>
            </w:r>
          </w:p>
          <w:p>
            <w:pPr>
              <w:pStyle w:val="Normal"/>
              <w:widowControl w:val="false"/>
              <w:rPr>
                <w:rFonts w:ascii="PT Astra Serif" w:hAnsi="PT Astra Serif"/>
                <w:color w:val="000000"/>
                <w:sz w:val="22"/>
                <w:szCs w:val="22"/>
              </w:rPr>
            </w:pPr>
            <w:r>
              <w:rPr>
                <w:rFonts w:ascii="PT Astra Serif" w:hAnsi="PT Astra Serif"/>
                <w:color w:val="000000"/>
                <w:sz w:val="22"/>
                <w:szCs w:val="22"/>
              </w:rPr>
              <w:t>площадь, кв. м</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земельный участок с кадастровым номером 71:30:070211:11, площадью 1 191 кв. м</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Адрес</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обл. Тульская, г. Тула, р-н Привокзальный, Крутоовражный проезд, 18, садоводческое товарищество треста Тулпромстрой, участок 5</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Категория земель</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земли населенных пунктов</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Вид разрешенного использования</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для садоводства</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Форма собственности</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муниципальная</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2"/>
                <w:szCs w:val="22"/>
              </w:rPr>
            </w:pPr>
            <w:r>
              <w:rPr>
                <w:rFonts w:ascii="PT Astra Serif" w:hAnsi="PT Astra Serif"/>
                <w:color w:val="000000"/>
                <w:sz w:val="22"/>
                <w:szCs w:val="22"/>
              </w:rPr>
              <w:t>Начальная цена</w:t>
            </w:r>
          </w:p>
          <w:p>
            <w:pPr>
              <w:pStyle w:val="Normal"/>
              <w:widowControl w:val="false"/>
              <w:rPr>
                <w:rFonts w:ascii="PT Astra Serif" w:hAnsi="PT Astra Serif"/>
                <w:color w:val="000000"/>
                <w:sz w:val="22"/>
                <w:szCs w:val="22"/>
              </w:rPr>
            </w:pPr>
            <w:r>
              <w:rPr>
                <w:rFonts w:ascii="PT Astra Serif" w:hAnsi="PT Astra Serif"/>
                <w:color w:val="000000"/>
                <w:sz w:val="22"/>
                <w:szCs w:val="22"/>
              </w:rPr>
              <w:t>в рублях (НДС не облагается)</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329 000,00 (Триста двадцать девять тысяч) рублей 00 копеек</w:t>
            </w:r>
          </w:p>
          <w:p>
            <w:pPr>
              <w:pStyle w:val="Normal"/>
              <w:widowControl w:val="false"/>
              <w:rPr>
                <w:rFonts w:ascii="PT Astra Serif" w:hAnsi="PT Astra Serif"/>
                <w:color w:val="000000"/>
                <w:sz w:val="22"/>
                <w:szCs w:val="22"/>
              </w:rPr>
            </w:pPr>
            <w:r>
              <w:rPr>
                <w:rFonts w:ascii="PT Astra Serif" w:hAnsi="PT Astra Serif"/>
                <w:color w:val="000000"/>
                <w:sz w:val="22"/>
                <w:szCs w:val="22"/>
              </w:rPr>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Сумма задатка в размере 100% от начальной цены объекта (руб.)</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329 000,00 (Триста двадцать девять тысяч) рублей 00 копеек</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Шаг аукциона в размере 3% от начальной цены объекта (руб.)</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9 870 ,00 (Девять тысяч восемьсот семьдесят) рублей 00 копеек</w:t>
            </w:r>
          </w:p>
        </w:tc>
      </w:tr>
      <w:tr>
        <w:trPr/>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Ограничения (обременения)</w:t>
            </w:r>
          </w:p>
        </w:tc>
        <w:tc>
          <w:tcPr>
            <w:tcW w:w="65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 выписка из ЕГРН от 29.05.2026 № КУВИ-001/2026-73215907 (Приложение 4);</w:t>
            </w:r>
          </w:p>
          <w:p>
            <w:pPr>
              <w:pStyle w:val="Normal"/>
              <w:widowControl w:val="false"/>
              <w:rPr>
                <w:rFonts w:ascii="PT Astra Serif" w:hAnsi="PT Astra Serif"/>
                <w:color w:val="000000"/>
                <w:sz w:val="22"/>
                <w:szCs w:val="22"/>
              </w:rPr>
            </w:pPr>
            <w:r>
              <w:rPr>
                <w:rFonts w:ascii="PT Astra Serif" w:hAnsi="PT Astra Serif"/>
                <w:color w:val="000000"/>
                <w:sz w:val="22"/>
                <w:szCs w:val="22"/>
              </w:rPr>
              <w:t>- градостроительный план № РФ-71-2-26-0-00-2026-5330-0 (Приложение 7);</w:t>
            </w:r>
          </w:p>
          <w:p>
            <w:pPr>
              <w:pStyle w:val="Normal"/>
              <w:widowControl w:val="false"/>
              <w:rPr>
                <w:rFonts w:ascii="PT Astra Serif" w:hAnsi="PT Astra Serif"/>
                <w:color w:val="000000"/>
                <w:sz w:val="22"/>
                <w:szCs w:val="22"/>
              </w:rPr>
            </w:pPr>
            <w:r>
              <w:rPr>
                <w:rFonts w:ascii="PT Astra Serif" w:hAnsi="PT Astra Serif"/>
                <w:color w:val="000000"/>
                <w:sz w:val="22"/>
                <w:szCs w:val="22"/>
              </w:rPr>
              <w:t>- письмо инспекции Тульской области по государственной охране объектов культурного наследия от 19.02.2026 № 47-17/344 (Приложение 8)</w:t>
            </w:r>
          </w:p>
        </w:tc>
      </w:tr>
    </w:tbl>
    <w:p>
      <w:pPr>
        <w:pStyle w:val="Normal"/>
        <w:ind w:hanging="0" w:left="0"/>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color w:val="000000"/>
          <w:sz w:val="24"/>
          <w:szCs w:val="24"/>
        </w:rPr>
      </w:pPr>
      <w:bookmarkStart w:id="0" w:name="_GoBack"/>
      <w:bookmarkEnd w:id="0"/>
      <w:r>
        <w:rPr>
          <w:rFonts w:cs="PTAstraSerif-Regular" w:ascii="PT Astra Serif" w:hAnsi="PT Astra Serif"/>
          <w:b/>
          <w:color w:val="000000"/>
          <w:sz w:val="24"/>
          <w:szCs w:val="24"/>
        </w:rPr>
        <w:t>Существенные условия договора купли-продажи</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Для Лотов 1-2:</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Договор купли-продажи земельного участка заключается между комитетом имущественных и земельных отношений администрации города Тулы (далее - Продавец) и победителем аукциона, либо лицом, подавшим единственную заявку на участие в аукционе и соответствующим указанным в извещении о проведении аукциона требованиям к участникам аукциона при условии, что заявка на участие в аукционе также соответствует указанным в извещении о проведении аукциона условиям аукциона, либо заявителем, признанным единственным участником аукциона, либо единственным принявшим участие в аукционе участником (далее - Покупатель).</w:t>
      </w:r>
    </w:p>
    <w:p>
      <w:pPr>
        <w:pStyle w:val="Normal"/>
        <w:ind w:firstLine="709"/>
        <w:jc w:val="both"/>
        <w:rPr/>
      </w:pPr>
      <w:r>
        <w:rPr>
          <w:rFonts w:eastAsia="Calibri" w:cs="Calibri" w:ascii="PT Astra Serif" w:hAnsi="PT Astra Serif"/>
          <w:color w:val="000000"/>
          <w:sz w:val="24"/>
          <w:szCs w:val="24"/>
          <w:lang w:eastAsia="en-US"/>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r:id="rId8">
        <w:r>
          <w:rPr>
            <w:rStyle w:val="Style7"/>
            <w:rFonts w:eastAsia="Calibri" w:cs="Calibri" w:ascii="PT Astra Serif" w:hAnsi="PT Astra Serif"/>
            <w:color w:val="000000"/>
            <w:sz w:val="24"/>
            <w:szCs w:val="24"/>
            <w:lang w:eastAsia="en-US"/>
          </w:rPr>
          <w:t>пунктом 13</w:t>
        </w:r>
      </w:hyperlink>
      <w:r>
        <w:rPr>
          <w:rFonts w:eastAsia="Calibri" w:cs="Calibri" w:ascii="PT Astra Serif" w:hAnsi="PT Astra Serif"/>
          <w:color w:val="000000"/>
          <w:sz w:val="24"/>
          <w:szCs w:val="24"/>
          <w:lang w:eastAsia="en-US"/>
        </w:rPr>
        <w:t xml:space="preserve">, </w:t>
      </w:r>
      <w:hyperlink r:id="rId9">
        <w:r>
          <w:rPr>
            <w:rStyle w:val="Style7"/>
            <w:rFonts w:eastAsia="Calibri" w:cs="Calibri" w:ascii="PT Astra Serif" w:hAnsi="PT Astra Serif"/>
            <w:color w:val="000000"/>
            <w:sz w:val="24"/>
            <w:szCs w:val="24"/>
            <w:lang w:eastAsia="en-US"/>
          </w:rPr>
          <w:t>14</w:t>
        </w:r>
      </w:hyperlink>
      <w:r>
        <w:rPr>
          <w:rFonts w:eastAsia="Calibri" w:cs="Calibri" w:ascii="PT Astra Serif" w:hAnsi="PT Astra Serif"/>
          <w:color w:val="000000"/>
          <w:sz w:val="24"/>
          <w:szCs w:val="24"/>
          <w:lang w:eastAsia="en-US"/>
        </w:rPr>
        <w:t xml:space="preserve">, </w:t>
      </w:r>
      <w:hyperlink r:id="rId10">
        <w:r>
          <w:rPr>
            <w:rStyle w:val="Style7"/>
            <w:rFonts w:eastAsia="Calibri" w:cs="Calibri" w:ascii="PT Astra Serif" w:hAnsi="PT Astra Serif"/>
            <w:color w:val="000000"/>
            <w:sz w:val="24"/>
            <w:szCs w:val="24"/>
            <w:lang w:eastAsia="en-US"/>
          </w:rPr>
          <w:t>20</w:t>
        </w:r>
      </w:hyperlink>
      <w:r>
        <w:rPr>
          <w:rFonts w:eastAsia="Calibri" w:cs="Calibri" w:ascii="PT Astra Serif" w:hAnsi="PT Astra Serif"/>
          <w:color w:val="000000"/>
          <w:sz w:val="24"/>
          <w:szCs w:val="24"/>
          <w:lang w:eastAsia="en-US"/>
        </w:rPr>
        <w:t xml:space="preserve"> или </w:t>
      </w:r>
      <w:hyperlink r:id="rId11">
        <w:r>
          <w:rPr>
            <w:rStyle w:val="Style7"/>
            <w:rFonts w:eastAsia="Calibri" w:cs="Calibri" w:ascii="PT Astra Serif" w:hAnsi="PT Astra Serif"/>
            <w:color w:val="000000"/>
            <w:sz w:val="24"/>
            <w:szCs w:val="24"/>
            <w:lang w:eastAsia="en-US"/>
          </w:rPr>
          <w:t>25</w:t>
        </w:r>
      </w:hyperlink>
      <w:r>
        <w:rPr>
          <w:rFonts w:eastAsia="Calibri" w:cs="Calibri" w:ascii="PT Astra Serif" w:hAnsi="PT Astra Serif"/>
          <w:color w:val="000000"/>
          <w:sz w:val="24"/>
          <w:szCs w:val="24"/>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купли-продажи земельного участка вследствие уклонения от заключения указанных договоров, не возвращаются.</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Оплата суммы, предусмотренной договором купли-продажи, производится покупателем на счет продавца в течение 30 (Тридцати) календарных дней с момента подписания договора купли-продажи.</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Обязанность Покупателя по оплате приобретаемого в собственность земельного участка считается надлежащим образом исполненной с даты зачисления в полном объеме денежных средств на счет Продавца, указанный в договоре купли-продажи.</w:t>
      </w:r>
    </w:p>
    <w:p>
      <w:pPr>
        <w:pStyle w:val="Normal"/>
        <w:suppressAutoHyphens w:val="false"/>
        <w:spacing w:lineRule="auto" w:line="276"/>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r>
        <w:rPr>
          <w:rFonts w:ascii="PT Astra Serif" w:hAnsi="PT Astra Serif"/>
          <w:b/>
          <w:color w:val="000000"/>
          <w:sz w:val="24"/>
          <w:szCs w:val="24"/>
        </w:rPr>
        <w:t>- обязательства отсутствуют.</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 - </w:t>
      </w:r>
      <w:r>
        <w:rPr>
          <w:rFonts w:ascii="PT Astra Serif" w:hAnsi="PT Astra Serif"/>
          <w:b/>
          <w:color w:val="000000"/>
          <w:sz w:val="24"/>
          <w:szCs w:val="24"/>
        </w:rPr>
        <w:t>обязательства отсутствуют.</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 </w:t>
      </w:r>
      <w:r>
        <w:rPr>
          <w:rFonts w:ascii="PT Astra Serif" w:hAnsi="PT Astra Serif"/>
          <w:b/>
          <w:color w:val="000000"/>
          <w:sz w:val="24"/>
          <w:szCs w:val="24"/>
        </w:rPr>
        <w:t>обязательства отсутствуют.</w:t>
      </w:r>
    </w:p>
    <w:p>
      <w:pPr>
        <w:pStyle w:val="Normal"/>
        <w:ind w:firstLine="709"/>
        <w:jc w:val="both"/>
        <w:rPr>
          <w:rFonts w:ascii="PT Astra Serif" w:hAnsi="PT Astra Serif" w:cs="PTAstraSerif-Regular"/>
          <w:color w:val="000000"/>
          <w:sz w:val="24"/>
          <w:szCs w:val="24"/>
        </w:rPr>
      </w:pPr>
      <w:r>
        <w:rPr>
          <w:rFonts w:cs="PTAstraSerif-Regular" w:ascii="PT Astra Serif" w:hAnsi="PT Astra Serif"/>
          <w:color w:val="000000"/>
          <w:sz w:val="24"/>
          <w:szCs w:val="24"/>
        </w:rPr>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Условия и сроки заключения договора купли - продажи земельного участка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xml:space="preserve">Заключение договора купли - продажи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w:t>
        <w:br/>
        <w:t>а также настоящим извещением.</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По результатам проведения электронного аукциона договор купли-продажи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pPr>
        <w:pStyle w:val="Default"/>
        <w:ind w:firstLine="709"/>
        <w:jc w:val="both"/>
        <w:rPr>
          <w:rFonts w:ascii="PT Astra Serif" w:hAnsi="PT Astra Serif"/>
          <w:color w:val="000000"/>
          <w:sz w:val="24"/>
          <w:szCs w:val="24"/>
        </w:rPr>
      </w:pPr>
      <w:r>
        <w:rPr>
          <w:rFonts w:ascii="PT Astra Serif" w:hAnsi="PT Astra Serif"/>
          <w:bCs/>
          <w:color w:val="000000"/>
          <w:sz w:val="24"/>
          <w:szCs w:val="24"/>
        </w:rPr>
        <w:t>С проектом договора купли-продажи земельного участка можно ознакомиться на сайте электронной площадки, а также официальном сайте торгов.</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соответствии с п. 11 ст. 39.13 Земельного кодекса РФ, не допускается заключение договора купли-продажи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торгов.</w:t>
      </w:r>
    </w:p>
    <w:p>
      <w:pPr>
        <w:pStyle w:val="Normal"/>
        <w:ind w:firstLine="709"/>
        <w:jc w:val="both"/>
        <w:rPr/>
      </w:pPr>
      <w:r>
        <w:rPr>
          <w:rFonts w:cs="PT Astra Serif" w:ascii="PT Astra Serif" w:hAnsi="PT Astra Serif"/>
          <w:color w:val="000000"/>
          <w:sz w:val="24"/>
          <w:szCs w:val="24"/>
        </w:rPr>
        <w:t xml:space="preserve">В течение 5 (Пяти) дней со дня истечения срока, предусмотренного </w:t>
      </w:r>
      <w:hyperlink r:id="rId12">
        <w:r>
          <w:rPr>
            <w:rStyle w:val="Style7"/>
            <w:rFonts w:cs="PT Astra Serif" w:ascii="PT Astra Serif" w:hAnsi="PT Astra Serif"/>
            <w:color w:val="000000"/>
            <w:sz w:val="24"/>
            <w:szCs w:val="24"/>
          </w:rPr>
          <w:t>п. 11</w:t>
        </w:r>
      </w:hyperlink>
      <w:r>
        <w:rPr>
          <w:rFonts w:cs="PT Astra Serif" w:ascii="PT Astra Serif" w:hAnsi="PT Astra Serif"/>
          <w:color w:val="000000"/>
          <w:sz w:val="24"/>
          <w:szCs w:val="24"/>
        </w:rPr>
        <w:t xml:space="preserve"> ст. 39.13 Земельного кодекса РФ, направляется победителю электронного аукциона или иным лицам, с которыми в соответствии с </w:t>
      </w:r>
      <w:hyperlink r:id="rId13">
        <w:r>
          <w:rPr>
            <w:rStyle w:val="Style7"/>
            <w:rFonts w:cs="PT Astra Serif" w:ascii="PT Astra Serif" w:hAnsi="PT Astra Serif"/>
            <w:color w:val="000000"/>
            <w:sz w:val="24"/>
            <w:szCs w:val="24"/>
          </w:rPr>
          <w:t>пунктами 13</w:t>
        </w:r>
      </w:hyperlink>
      <w:r>
        <w:rPr>
          <w:rFonts w:cs="PT Astra Serif" w:ascii="PT Astra Serif" w:hAnsi="PT Astra Serif"/>
          <w:color w:val="000000"/>
          <w:sz w:val="24"/>
          <w:szCs w:val="24"/>
        </w:rPr>
        <w:t xml:space="preserve">, </w:t>
      </w:r>
      <w:hyperlink r:id="rId14">
        <w:r>
          <w:rPr>
            <w:rStyle w:val="Style7"/>
            <w:rFonts w:cs="PT Astra Serif" w:ascii="PT Astra Serif" w:hAnsi="PT Astra Serif"/>
            <w:color w:val="000000"/>
            <w:sz w:val="24"/>
            <w:szCs w:val="24"/>
          </w:rPr>
          <w:t>14</w:t>
        </w:r>
      </w:hyperlink>
      <w:r>
        <w:rPr>
          <w:rFonts w:cs="PT Astra Serif" w:ascii="PT Astra Serif" w:hAnsi="PT Astra Serif"/>
          <w:color w:val="000000"/>
          <w:sz w:val="24"/>
          <w:szCs w:val="24"/>
        </w:rPr>
        <w:t xml:space="preserve">, </w:t>
      </w:r>
      <w:hyperlink r:id="rId15">
        <w:r>
          <w:rPr>
            <w:rStyle w:val="Style7"/>
            <w:rFonts w:cs="PT Astra Serif" w:ascii="PT Astra Serif" w:hAnsi="PT Astra Serif"/>
            <w:color w:val="000000"/>
            <w:sz w:val="24"/>
            <w:szCs w:val="24"/>
          </w:rPr>
          <w:t>20</w:t>
        </w:r>
      </w:hyperlink>
      <w:r>
        <w:rPr>
          <w:rFonts w:cs="PT Astra Serif" w:ascii="PT Astra Serif" w:hAnsi="PT Astra Serif"/>
          <w:color w:val="000000"/>
          <w:sz w:val="24"/>
          <w:szCs w:val="24"/>
        </w:rPr>
        <w:t xml:space="preserve"> и </w:t>
      </w:r>
      <w:hyperlink r:id="rId16">
        <w:r>
          <w:rPr>
            <w:rStyle w:val="Style7"/>
            <w:rFonts w:cs="PT Astra Serif" w:ascii="PT Astra Serif" w:hAnsi="PT Astra Serif"/>
            <w:color w:val="000000"/>
            <w:sz w:val="24"/>
            <w:szCs w:val="24"/>
          </w:rPr>
          <w:t>25 статьи 39.12</w:t>
        </w:r>
      </w:hyperlink>
      <w:r>
        <w:rPr>
          <w:rFonts w:cs="PT Astra Serif" w:ascii="PT Astra Serif" w:hAnsi="PT Astra Serif"/>
          <w:color w:val="000000"/>
          <w:sz w:val="24"/>
          <w:szCs w:val="24"/>
        </w:rPr>
        <w:t xml:space="preserve"> настоящего Кодекса заключается договор купли-продажи земельного участка, подписанный проект договора купли-продажи земельного участка.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Победитель аукциона или иное лицо, с которым заключается договор купли-продажи земельного участка в соответствии с Земельным кодексом РФ, обязаны подписать договор купли-продажи земельного участка в течение 10 (Десяти) рабочих дней со дня направления им такого договора.</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Если договор купли-продажи земельного участка в течение 10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pPr>
        <w:pStyle w:val="Normal"/>
        <w:ind w:firstLine="709"/>
        <w:jc w:val="both"/>
        <w:rPr/>
      </w:pPr>
      <w:r>
        <w:rPr>
          <w:rFonts w:cs="PT Astra Serif" w:ascii="PT Astra Serif" w:hAnsi="PT Astra Serif"/>
          <w:color w:val="000000"/>
          <w:sz w:val="24"/>
          <w:szCs w:val="24"/>
        </w:rPr>
        <w:t xml:space="preserve">В случае, если победитель аукциона или иное лицо, с которым договор купли-продажи земельного участка заключается в соответствии с </w:t>
      </w:r>
      <w:hyperlink r:id="rId17">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w:t>
      </w:r>
      <w:hyperlink r:id="rId18">
        <w:r>
          <w:rPr>
            <w:rStyle w:val="Style7"/>
            <w:rFonts w:cs="PT Astra Serif" w:ascii="PT Astra Serif" w:hAnsi="PT Astra Serif"/>
            <w:color w:val="000000"/>
            <w:sz w:val="24"/>
            <w:szCs w:val="24"/>
          </w:rPr>
          <w:t>14</w:t>
        </w:r>
      </w:hyperlink>
      <w:r>
        <w:rPr>
          <w:rFonts w:cs="PT Astra Serif" w:ascii="PT Astra Serif" w:hAnsi="PT Astra Serif"/>
          <w:color w:val="000000"/>
          <w:sz w:val="24"/>
          <w:szCs w:val="24"/>
        </w:rPr>
        <w:t xml:space="preserve">, </w:t>
      </w:r>
      <w:hyperlink r:id="rId19">
        <w:r>
          <w:rPr>
            <w:rStyle w:val="Style7"/>
            <w:rFonts w:cs="PT Astra Serif" w:ascii="PT Astra Serif" w:hAnsi="PT Astra Serif"/>
            <w:color w:val="000000"/>
            <w:sz w:val="24"/>
            <w:szCs w:val="24"/>
          </w:rPr>
          <w:t>20</w:t>
        </w:r>
      </w:hyperlink>
      <w:r>
        <w:rPr>
          <w:rFonts w:cs="PT Astra Serif" w:ascii="PT Astra Serif" w:hAnsi="PT Astra Serif"/>
          <w:color w:val="000000"/>
          <w:sz w:val="24"/>
          <w:szCs w:val="24"/>
        </w:rPr>
        <w:t xml:space="preserve"> или </w:t>
      </w:r>
      <w:hyperlink r:id="rId20">
        <w:r>
          <w:rPr>
            <w:rStyle w:val="Style7"/>
            <w:rFonts w:cs="PT Astra Serif" w:ascii="PT Astra Serif" w:hAnsi="PT Astra Serif"/>
            <w:color w:val="000000"/>
            <w:sz w:val="24"/>
            <w:szCs w:val="24"/>
          </w:rPr>
          <w:t>25</w:t>
        </w:r>
      </w:hyperlink>
      <w:r>
        <w:rPr>
          <w:rFonts w:cs="PT Astra Serif" w:ascii="PT Astra Serif" w:hAnsi="PT Astra Serif"/>
          <w:color w:val="000000"/>
          <w:sz w:val="24"/>
          <w:szCs w:val="24"/>
        </w:rPr>
        <w:t xml:space="preserve"> ст. 39.12 Земельного кодекса РФ, в течение 10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5 (Пяти) рабочих дней со дня истечения этого срока направляет сведения, предусмотренные </w:t>
      </w:r>
      <w:hyperlink r:id="rId21">
        <w:r>
          <w:rPr>
            <w:rStyle w:val="Style7"/>
            <w:rFonts w:cs="PT Astra Serif" w:ascii="PT Astra Serif" w:hAnsi="PT Astra Serif"/>
            <w:color w:val="000000"/>
            <w:sz w:val="24"/>
            <w:szCs w:val="24"/>
          </w:rPr>
          <w:t>подпунктами 1</w:t>
        </w:r>
      </w:hyperlink>
      <w:r>
        <w:rPr>
          <w:rFonts w:cs="PT Astra Serif" w:ascii="PT Astra Serif" w:hAnsi="PT Astra Serif"/>
          <w:color w:val="000000"/>
          <w:sz w:val="24"/>
          <w:szCs w:val="24"/>
        </w:rPr>
        <w:t xml:space="preserve"> - </w:t>
      </w:r>
      <w:hyperlink r:id="rId22">
        <w:r>
          <w:rPr>
            <w:rStyle w:val="Style7"/>
            <w:rFonts w:cs="PT Astra Serif" w:ascii="PT Astra Serif" w:hAnsi="PT Astra Serif"/>
            <w:color w:val="000000"/>
            <w:sz w:val="24"/>
            <w:szCs w:val="24"/>
          </w:rPr>
          <w:t>3 пункта 29</w:t>
        </w:r>
      </w:hyperlink>
      <w:r>
        <w:rPr>
          <w:rFonts w:cs="PT Astra Serif" w:ascii="PT Astra Serif" w:hAnsi="PT Astra Serif"/>
          <w:color w:val="000000"/>
          <w:sz w:val="24"/>
          <w:szCs w:val="24"/>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Normal"/>
        <w:ind w:firstLine="709"/>
        <w:jc w:val="both"/>
        <w:rPr/>
      </w:pPr>
      <w:r>
        <w:rPr>
          <w:rFonts w:cs="PT Astra Serif" w:ascii="PT Astra Serif" w:hAnsi="PT Astra Serif"/>
          <w:color w:val="000000"/>
          <w:sz w:val="24"/>
          <w:szCs w:val="24"/>
        </w:rPr>
        <w:t xml:space="preserve">Сведения о победителе аукциона, уклонившегося от заключения договора купли-продажи земельного участка, являющегося предметом аукциона, и об иных лицах, с которыми указанный договор заключается в соответствии с </w:t>
      </w:r>
      <w:hyperlink r:id="rId23">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w:t>
      </w:r>
      <w:hyperlink r:id="rId24">
        <w:r>
          <w:rPr>
            <w:rStyle w:val="Style7"/>
            <w:rFonts w:cs="PT Astra Serif" w:ascii="PT Astra Serif" w:hAnsi="PT Astra Serif"/>
            <w:color w:val="000000"/>
            <w:sz w:val="24"/>
            <w:szCs w:val="24"/>
          </w:rPr>
          <w:t>14</w:t>
        </w:r>
      </w:hyperlink>
      <w:r>
        <w:rPr>
          <w:rFonts w:cs="PT Astra Serif" w:ascii="PT Astra Serif" w:hAnsi="PT Astra Serif"/>
          <w:color w:val="000000"/>
          <w:sz w:val="24"/>
          <w:szCs w:val="24"/>
        </w:rPr>
        <w:t xml:space="preserve">, </w:t>
      </w:r>
      <w:hyperlink r:id="rId25">
        <w:r>
          <w:rPr>
            <w:rStyle w:val="Style7"/>
            <w:rFonts w:cs="PT Astra Serif" w:ascii="PT Astra Serif" w:hAnsi="PT Astra Serif"/>
            <w:color w:val="000000"/>
            <w:sz w:val="24"/>
            <w:szCs w:val="24"/>
          </w:rPr>
          <w:t>20</w:t>
        </w:r>
      </w:hyperlink>
      <w:r>
        <w:rPr>
          <w:rFonts w:cs="PT Astra Serif" w:ascii="PT Astra Serif" w:hAnsi="PT Astra Serif"/>
          <w:color w:val="000000"/>
          <w:sz w:val="24"/>
          <w:szCs w:val="24"/>
        </w:rPr>
        <w:t xml:space="preserve"> или </w:t>
      </w:r>
      <w:hyperlink r:id="rId26">
        <w:r>
          <w:rPr>
            <w:rStyle w:val="Style7"/>
            <w:rFonts w:cs="PT Astra Serif" w:ascii="PT Astra Serif" w:hAnsi="PT Astra Serif"/>
            <w:color w:val="000000"/>
            <w:sz w:val="24"/>
            <w:szCs w:val="24"/>
          </w:rPr>
          <w:t>25</w:t>
        </w:r>
      </w:hyperlink>
      <w:r>
        <w:rPr>
          <w:rFonts w:cs="PT Astra Serif" w:ascii="PT Astra Serif" w:hAnsi="PT Astra Serif"/>
          <w:color w:val="000000"/>
          <w:sz w:val="24"/>
          <w:szCs w:val="24"/>
        </w:rPr>
        <w:t xml:space="preserve"> ст. 39.12 Земельного кодекса РФ и которые уклонились от их заключения, включаются в реестр недобросовестных участников аукциона.</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В случае, если в течение 10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РФ.</w:t>
      </w:r>
    </w:p>
    <w:p>
      <w:pPr>
        <w:pStyle w:val="Normal"/>
        <w:ind w:firstLine="709"/>
        <w:jc w:val="both"/>
        <w:rPr>
          <w:rFonts w:ascii="PT Astra Serif" w:hAnsi="PT Astra Serif" w:cs="PTAstraSerif-Regular"/>
          <w:i/>
          <w:i/>
          <w:color w:val="000000"/>
          <w:sz w:val="24"/>
          <w:szCs w:val="24"/>
          <w:u w:val="single"/>
        </w:rPr>
      </w:pPr>
      <w:r>
        <w:rPr>
          <w:rFonts w:cs="PTAstraSerif-Regular" w:ascii="PT Astra Serif" w:hAnsi="PT Astra Serif"/>
          <w:i/>
          <w:color w:val="000000"/>
          <w:sz w:val="24"/>
          <w:szCs w:val="24"/>
          <w:u w:val="single"/>
        </w:rPr>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Организатор аукциона принимает решение об отказе в проведении аукциона в соответствии с действующим законодательством.</w:t>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Сведения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Лот 1:</w:t>
      </w:r>
    </w:p>
    <w:p>
      <w:pPr>
        <w:pStyle w:val="Normal"/>
        <w:widowControl w:val="false"/>
        <w:suppressAutoHyphens w:val="true"/>
        <w:bidi w:val="0"/>
        <w:spacing w:before="0" w:after="0"/>
        <w:ind w:firstLine="680" w:left="0" w:right="0"/>
        <w:jc w:val="both"/>
        <w:rPr>
          <w:rFonts w:ascii="PT Astra Serif" w:hAnsi="PT Astra Serif"/>
          <w:color w:val="000000"/>
          <w:sz w:val="24"/>
          <w:szCs w:val="24"/>
          <w:lang w:eastAsia="zh-CN"/>
        </w:rPr>
      </w:pPr>
      <w:r>
        <w:rPr>
          <w:rFonts w:ascii="PT Astra Serif" w:hAnsi="PT Astra Serif"/>
          <w:color w:val="000000"/>
          <w:sz w:val="24"/>
          <w:szCs w:val="24"/>
          <w:lang w:eastAsia="zh-CN"/>
        </w:rPr>
        <w:t>- выписка из ЕГРН от 05.05.2026 № КУВИ-001/2026-61384645 (Приложение 3);</w:t>
      </w:r>
    </w:p>
    <w:p>
      <w:pPr>
        <w:pStyle w:val="Normal"/>
        <w:widowControl w:val="false"/>
        <w:suppressAutoHyphens w:val="true"/>
        <w:bidi w:val="0"/>
        <w:spacing w:before="0" w:after="0"/>
        <w:ind w:firstLine="680" w:left="0" w:right="0"/>
        <w:jc w:val="both"/>
        <w:rPr>
          <w:rFonts w:ascii="PT Astra Serif" w:hAnsi="PT Astra Serif"/>
          <w:color w:val="000000"/>
          <w:sz w:val="24"/>
          <w:szCs w:val="24"/>
          <w:lang w:eastAsia="zh-CN"/>
        </w:rPr>
      </w:pPr>
      <w:r>
        <w:rPr>
          <w:rFonts w:ascii="PT Astra Serif" w:hAnsi="PT Astra Serif"/>
          <w:color w:val="000000"/>
          <w:sz w:val="24"/>
          <w:szCs w:val="24"/>
          <w:lang w:eastAsia="zh-CN"/>
        </w:rPr>
        <w:t>- градостроительный план № РФ-71-2-26-0-00-2025-4120-0 (Приложение 5);</w:t>
      </w:r>
    </w:p>
    <w:p>
      <w:pPr>
        <w:pStyle w:val="Normal"/>
        <w:widowControl w:val="false"/>
        <w:suppressAutoHyphens w:val="true"/>
        <w:bidi w:val="0"/>
        <w:spacing w:before="0" w:after="0"/>
        <w:ind w:firstLine="680" w:left="0" w:right="0"/>
        <w:jc w:val="both"/>
        <w:rPr>
          <w:rFonts w:ascii="PT Astra Serif" w:hAnsi="PT Astra Serif"/>
          <w:color w:val="000000"/>
          <w:sz w:val="24"/>
          <w:szCs w:val="24"/>
          <w:lang w:eastAsia="zh-CN"/>
        </w:rPr>
      </w:pPr>
      <w:r>
        <w:rPr>
          <w:rFonts w:ascii="PT Astra Serif" w:hAnsi="PT Astra Serif"/>
          <w:color w:val="000000"/>
          <w:sz w:val="24"/>
          <w:szCs w:val="24"/>
          <w:lang w:eastAsia="zh-CN"/>
        </w:rPr>
        <w:t>- письмо инспекции Тульской области по государственной охране объектов культурного наследия от 30.04.2026 № 47-17/999 (Приложение 6);</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Лот 2:</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cs="PTAstraSerif-Regular" w:ascii="PT Astra Serif" w:hAnsi="PT Astra Serif"/>
          <w:color w:val="000000"/>
          <w:sz w:val="24"/>
          <w:szCs w:val="24"/>
          <w:lang w:eastAsia="zh-CN"/>
        </w:rPr>
        <w:t>- выписка из ЕГРН от 29.05.2026 № КУВИ-001/2026-73215907 (Приложение 4);</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cs="PTAstraSerif-Regular" w:ascii="PT Astra Serif" w:hAnsi="PT Astra Serif"/>
          <w:color w:val="000000"/>
          <w:sz w:val="24"/>
          <w:szCs w:val="24"/>
          <w:lang w:eastAsia="zh-CN"/>
        </w:rPr>
        <w:t>- градостроительный план № РФ-71-2-26-0-00-2026-5330-0 (Приложение 7);</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cs="PTAstraSerif-Regular" w:ascii="PT Astra Serif" w:hAnsi="PT Astra Serif"/>
          <w:color w:val="000000"/>
          <w:sz w:val="24"/>
          <w:szCs w:val="24"/>
          <w:lang w:eastAsia="zh-CN"/>
        </w:rPr>
        <w:t>- письмо инспекции Тульской области по государственной охране объектов культурного наследия от 19.02.2026 № 47-17/344 (Приложение 8);</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Лот 1:</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b w:val="false"/>
          <w:bCs w:val="false"/>
          <w:color w:val="000000"/>
          <w:sz w:val="24"/>
          <w:szCs w:val="24"/>
          <w:lang w:eastAsia="zh-CN"/>
        </w:rPr>
        <w:t>- выписка из ЕГРН от 05.05.2026 № КУВИ-001/2026-61384645 (Приложение 3);</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b w:val="false"/>
          <w:bCs w:val="false"/>
          <w:color w:val="000000"/>
          <w:sz w:val="24"/>
          <w:szCs w:val="24"/>
          <w:lang w:eastAsia="zh-CN"/>
        </w:rPr>
        <w:t>- градостроительный план № РФ-71-2-26-0-00-2025-4120-0 (Приложение 5);</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b w:val="false"/>
          <w:bCs w:val="false"/>
          <w:color w:val="000000"/>
          <w:sz w:val="24"/>
          <w:szCs w:val="24"/>
          <w:lang w:eastAsia="zh-CN"/>
        </w:rPr>
        <w:t>- письмо инспекции Тульской области по государственной охране объектов культурного наследия от 30.04.2026 № 47-17/999 (Приложение 6);</w:t>
      </w:r>
    </w:p>
    <w:p>
      <w:pPr>
        <w:pStyle w:val="Normal"/>
        <w:ind w:firstLine="709"/>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2:</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lang w:eastAsia="zh-CN"/>
        </w:rPr>
        <w:t>- выписка из ЕГРН от 29.05.2026 № КУВИ-001/2026-73215907 (Приложение 4);</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lang w:eastAsia="zh-CN"/>
        </w:rPr>
        <w:t>- градостроительный план № РФ-71-2-26-0-00-2026-5330-0 (Приложение 7);</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lang w:eastAsia="zh-CN"/>
        </w:rPr>
        <w:t>- письмо инспекции Тульской области по государственной охране объектов культурного наследия от 19.02.2026 № 47-17/344 (Приложение 8);</w:t>
      </w:r>
    </w:p>
    <w:p>
      <w:pPr>
        <w:pStyle w:val="Normal"/>
        <w:widowControl w:val="false"/>
        <w:bidi w:val="0"/>
        <w:spacing w:before="0" w:after="0"/>
        <w:ind w:firstLine="680" w:left="0" w:right="0"/>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ind w:firstLine="709"/>
        <w:jc w:val="both"/>
        <w:rPr>
          <w:rFonts w:ascii="PT Astra Serif" w:hAnsi="PT Astra Serif"/>
          <w:color w:val="000000"/>
          <w:sz w:val="24"/>
          <w:szCs w:val="24"/>
        </w:rPr>
      </w:pPr>
      <w:r>
        <w:rPr>
          <w:rFonts w:ascii="PT Astra Serif" w:hAnsi="PT Astra Serif"/>
          <w:b/>
          <w:color w:val="000000"/>
          <w:sz w:val="24"/>
          <w:szCs w:val="24"/>
          <w:lang w:eastAsia="zh-CN"/>
        </w:rPr>
        <w:t>Информация о расположенных в границах земельного участка объектах капитального строительства и объектах культурного наследия:</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Для Лотов №№ 1-2:</w:t>
      </w:r>
    </w:p>
    <w:p>
      <w:pPr>
        <w:pStyle w:val="Normal"/>
        <w:ind w:firstLine="709"/>
        <w:jc w:val="both"/>
        <w:rPr>
          <w:rFonts w:ascii="PT Astra Serif" w:hAnsi="PT Astra Serif"/>
          <w:color w:val="000000"/>
          <w:sz w:val="24"/>
          <w:szCs w:val="24"/>
        </w:rPr>
      </w:pPr>
      <w:r>
        <w:rPr>
          <w:rFonts w:ascii="PT Astra Serif" w:hAnsi="PT Astra Serif"/>
          <w:color w:val="000000"/>
          <w:sz w:val="24"/>
          <w:szCs w:val="24"/>
          <w:lang w:eastAsia="zh-CN"/>
        </w:rPr>
        <w:t>На территории земельных участков отсутствуют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и объекты, обладающие признаками объекта культурного наследия (в том числе археологического).</w:t>
      </w:r>
    </w:p>
    <w:p>
      <w:pPr>
        <w:pStyle w:val="Normal"/>
        <w:ind w:firstLine="709"/>
        <w:jc w:val="both"/>
        <w:rPr>
          <w:rFonts w:ascii="PT Astra Serif" w:hAnsi="PT Astra Serif"/>
          <w:b/>
          <w:color w:val="000000"/>
          <w:sz w:val="24"/>
          <w:szCs w:val="24"/>
          <w:lang w:eastAsia="zh-CN"/>
        </w:rPr>
      </w:pPr>
      <w:r>
        <w:rPr>
          <w:rFonts w:ascii="PT Astra Serif" w:hAnsi="PT Astra Serif"/>
          <w:b/>
          <w:color w:val="000000"/>
          <w:sz w:val="24"/>
          <w:szCs w:val="24"/>
          <w:lang w:eastAsia="zh-CN"/>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1:</w:t>
      </w:r>
    </w:p>
    <w:p>
      <w:pPr>
        <w:pStyle w:val="Normal"/>
        <w:widowControl w:val="false"/>
        <w:ind w:firstLine="680" w:left="0" w:right="0"/>
        <w:jc w:val="both"/>
        <w:rPr>
          <w:rFonts w:ascii="PT Astra Serif" w:hAnsi="PT Astra Serif"/>
          <w:color w:val="000000"/>
          <w:sz w:val="24"/>
          <w:szCs w:val="24"/>
        </w:rPr>
      </w:pPr>
      <w:r>
        <w:rPr>
          <w:rFonts w:ascii="PT Astra Serif" w:hAnsi="PT Astra Serif"/>
          <w:b w:val="false"/>
          <w:bCs w:val="false"/>
          <w:color w:val="000000"/>
          <w:sz w:val="24"/>
          <w:szCs w:val="24"/>
          <w:lang w:eastAsia="zh-CN"/>
        </w:rPr>
        <w:t>- выписка из ЕГРН от 05.05.2026 № КУВИ-001/2026-61384645 (Приложение 3);</w:t>
      </w:r>
    </w:p>
    <w:p>
      <w:pPr>
        <w:pStyle w:val="Normal"/>
        <w:widowControl w:val="false"/>
        <w:ind w:firstLine="680" w:left="0" w:right="0"/>
        <w:jc w:val="both"/>
        <w:rPr>
          <w:rFonts w:ascii="PT Astra Serif" w:hAnsi="PT Astra Serif"/>
          <w:color w:val="000000"/>
          <w:sz w:val="24"/>
          <w:szCs w:val="24"/>
        </w:rPr>
      </w:pPr>
      <w:r>
        <w:rPr>
          <w:rFonts w:ascii="PT Astra Serif" w:hAnsi="PT Astra Serif"/>
          <w:b w:val="false"/>
          <w:bCs w:val="false"/>
          <w:color w:val="000000"/>
          <w:sz w:val="24"/>
          <w:szCs w:val="24"/>
          <w:lang w:eastAsia="zh-CN"/>
        </w:rPr>
        <w:t>- градостроительный план № РФ-71-2-26-0-00-2025-4120-0 (Приложение 5);</w:t>
      </w:r>
    </w:p>
    <w:p>
      <w:pPr>
        <w:pStyle w:val="Normal"/>
        <w:widowControl w:val="false"/>
        <w:ind w:firstLine="680" w:left="0" w:right="0"/>
        <w:jc w:val="both"/>
        <w:rPr>
          <w:rFonts w:ascii="PT Astra Serif" w:hAnsi="PT Astra Serif"/>
          <w:color w:val="000000"/>
          <w:sz w:val="24"/>
          <w:szCs w:val="24"/>
        </w:rPr>
      </w:pPr>
      <w:r>
        <w:rPr>
          <w:rFonts w:ascii="PT Astra Serif" w:hAnsi="PT Astra Serif"/>
          <w:b w:val="false"/>
          <w:bCs w:val="false"/>
          <w:color w:val="000000"/>
          <w:sz w:val="24"/>
          <w:szCs w:val="24"/>
          <w:lang w:eastAsia="zh-CN"/>
        </w:rPr>
        <w:t>- письмо инспекции Тульской области по государственной охране объектов культурного наследия от 30.04.2026 № 47-17/999 (Приложение 6);</w:t>
      </w:r>
    </w:p>
    <w:p>
      <w:pPr>
        <w:pStyle w:val="Normal"/>
        <w:ind w:firstLine="709"/>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2:</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29.05.2026 № КУВИ-001/2026-73215907 (Приложение 4);</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РФ-71-2-26-0-00-2026-5330-0 (Приложение 7);</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письмо инспекции Тульской области по государственной охране объектов культурного наследия от 19.02.2026 № 47-17/344 (Приложение 8);</w:t>
      </w:r>
    </w:p>
    <w:p>
      <w:pPr>
        <w:pStyle w:val="Normal"/>
        <w:widowControl w:val="false"/>
        <w:ind w:firstLine="680" w:left="0" w:right="0"/>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к газораспределительной сети:</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Лот 1:</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 письмо АО «Тулагоргаз» от 04.05.2026 № Исх-1594 (Приложение 9);</w:t>
      </w:r>
    </w:p>
    <w:p>
      <w:pPr>
        <w:pStyle w:val="Normal"/>
        <w:ind w:firstLine="709"/>
        <w:jc w:val="both"/>
        <w:rPr>
          <w:rFonts w:ascii="PT Astra Serif" w:hAnsi="PT Astra Serif" w:cs="PTAstraSerif-Regular"/>
          <w:b/>
          <w:bCs/>
          <w:color w:val="000000"/>
          <w:sz w:val="24"/>
          <w:szCs w:val="24"/>
        </w:rPr>
      </w:pPr>
      <w:r>
        <w:rPr>
          <w:rFonts w:cs="PTAstraSerif-Regular" w:ascii="PT Astra Serif" w:hAnsi="PT Astra Serif"/>
          <w:b/>
          <w:bCs/>
          <w:color w:val="000000"/>
          <w:sz w:val="24"/>
          <w:szCs w:val="24"/>
        </w:rPr>
        <w:t>Лоты 2:</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 </w:t>
      </w:r>
      <w:r>
        <w:rPr>
          <w:rFonts w:cs="PTAstraSerif-Regular" w:ascii="PT Astra Serif" w:hAnsi="PT Astra Serif"/>
          <w:bCs/>
          <w:iCs/>
          <w:color w:val="000000"/>
          <w:sz w:val="24"/>
          <w:szCs w:val="24"/>
          <w:lang w:bidi="ru-RU"/>
        </w:rPr>
        <w:t>письмо АО «Тулагоргаз» от 25.02.2026 № Исх-635</w:t>
      </w:r>
      <w:r>
        <w:rPr>
          <w:rFonts w:ascii="PT Astra Serif" w:hAnsi="PT Astra Serif"/>
          <w:color w:val="000000"/>
          <w:sz w:val="24"/>
          <w:szCs w:val="24"/>
        </w:rPr>
        <w:t xml:space="preserve"> (Приложение 10);</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t>к коммунальным сетям водоснабжения и водоотведения:</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Лот 1:</w:t>
      </w:r>
    </w:p>
    <w:p>
      <w:pPr>
        <w:pStyle w:val="Normal"/>
        <w:ind w:firstLine="709"/>
        <w:jc w:val="both"/>
        <w:rPr>
          <w:rFonts w:ascii="PT Astra Serif" w:hAnsi="PT Astra Serif"/>
          <w:color w:val="000000"/>
          <w:sz w:val="24"/>
          <w:szCs w:val="24"/>
        </w:rPr>
      </w:pPr>
      <w:r>
        <w:rPr>
          <w:rFonts w:cs="PTAstraSerif-Regular" w:ascii="PT Astra Serif" w:hAnsi="PT Astra Serif"/>
          <w:b w:val="false"/>
          <w:bCs w:val="false"/>
          <w:color w:val="000000"/>
          <w:sz w:val="24"/>
          <w:szCs w:val="24"/>
        </w:rPr>
        <w:t>- письмо АО «Тулагорводоканал» от 29.04.2026 № 2-25/9689-26 (Приложение 11);</w:t>
      </w:r>
    </w:p>
    <w:p>
      <w:pPr>
        <w:pStyle w:val="Normal"/>
        <w:ind w:firstLine="709"/>
        <w:jc w:val="both"/>
        <w:rPr>
          <w:rFonts w:ascii="PT Astra Serif" w:hAnsi="PT Astra Serif" w:cs="PTAstraSerif-Regular"/>
          <w:b/>
          <w:bCs/>
          <w:color w:val="000000"/>
          <w:sz w:val="24"/>
          <w:szCs w:val="24"/>
        </w:rPr>
      </w:pPr>
      <w:r>
        <w:rPr>
          <w:rFonts w:cs="PTAstraSerif-Regular" w:ascii="PT Astra Serif" w:hAnsi="PT Astra Serif"/>
          <w:b/>
          <w:bCs/>
          <w:color w:val="000000"/>
          <w:sz w:val="24"/>
          <w:szCs w:val="24"/>
        </w:rPr>
        <w:t>Лот 2:</w:t>
      </w:r>
    </w:p>
    <w:p>
      <w:pPr>
        <w:pStyle w:val="Normal"/>
        <w:ind w:firstLine="709"/>
        <w:jc w:val="both"/>
        <w:rPr>
          <w:rFonts w:ascii="PT Astra Serif" w:hAnsi="PT Astra Serif"/>
          <w:color w:val="000000"/>
          <w:sz w:val="24"/>
          <w:szCs w:val="24"/>
        </w:rPr>
      </w:pPr>
      <w:r>
        <w:rPr>
          <w:rFonts w:ascii="PT Astra Serif" w:hAnsi="PT Astra Serif"/>
          <w:b w:val="false"/>
          <w:bCs w:val="false"/>
          <w:color w:val="000000"/>
          <w:sz w:val="24"/>
          <w:szCs w:val="24"/>
        </w:rPr>
        <w:t>- письмо АО «Тулагорводоканал» от 02.06.2026 № 2-25/12727-26 (Приложение 12);</w:t>
      </w:r>
    </w:p>
    <w:p>
      <w:pPr>
        <w:pStyle w:val="Normal"/>
        <w:ind w:firstLine="709"/>
        <w:jc w:val="both"/>
        <w:rPr>
          <w:rFonts w:ascii="PT Astra Serif" w:hAnsi="PT Astra Serif" w:cs="PTAstraSerif-Regular"/>
          <w:b/>
          <w:bCs/>
          <w:color w:val="000000"/>
          <w:sz w:val="24"/>
          <w:szCs w:val="24"/>
        </w:rPr>
      </w:pPr>
      <w:r>
        <w:rPr>
          <w:rFonts w:cs="PTAstraSerif-Regular" w:ascii="PT Astra Serif" w:hAnsi="PT Astra Serif"/>
          <w:b/>
          <w:bCs/>
          <w:color w:val="000000"/>
          <w:sz w:val="24"/>
          <w:szCs w:val="24"/>
        </w:rPr>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к тепловым сетям:</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Лот 1:</w:t>
      </w:r>
    </w:p>
    <w:p>
      <w:pPr>
        <w:pStyle w:val="Normal"/>
        <w:widowControl w:val="false"/>
        <w:ind w:firstLine="680" w:left="0" w:right="0"/>
        <w:rPr>
          <w:rFonts w:ascii="PT Astra Serif" w:hAnsi="PT Astra Serif"/>
          <w:color w:val="000000"/>
          <w:sz w:val="24"/>
          <w:szCs w:val="24"/>
        </w:rPr>
      </w:pPr>
      <w:r>
        <w:rPr>
          <w:rFonts w:ascii="PT Astra Serif" w:hAnsi="PT Astra Serif"/>
          <w:color w:val="000000"/>
          <w:sz w:val="24"/>
          <w:szCs w:val="24"/>
        </w:rPr>
        <w:t xml:space="preserve">- </w:t>
      </w:r>
      <w:r>
        <w:rPr>
          <w:rFonts w:ascii="PT Astra Serif" w:hAnsi="PT Astra Serif"/>
          <w:b w:val="false"/>
          <w:bCs w:val="false"/>
          <w:color w:val="000000"/>
          <w:sz w:val="24"/>
          <w:szCs w:val="24"/>
        </w:rPr>
        <w:t>письмо АО «Тулатеплосеть» от 24.04.2026 № 490/1</w:t>
      </w:r>
      <w:r>
        <w:rPr>
          <w:rFonts w:ascii="PT Astra Serif" w:hAnsi="PT Astra Serif"/>
          <w:color w:val="000000"/>
          <w:sz w:val="24"/>
          <w:szCs w:val="24"/>
        </w:rPr>
        <w:t xml:space="preserve"> (Приложение 13);</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Лот 2:</w:t>
      </w:r>
    </w:p>
    <w:p>
      <w:pPr>
        <w:pStyle w:val="Normal"/>
        <w:ind w:firstLine="709"/>
        <w:jc w:val="both"/>
        <w:rPr>
          <w:rFonts w:ascii="PT Astra Serif" w:hAnsi="PT Astra Serif"/>
          <w:color w:val="000000"/>
          <w:sz w:val="24"/>
          <w:szCs w:val="24"/>
        </w:rPr>
      </w:pPr>
      <w:r>
        <w:rPr>
          <w:rFonts w:ascii="PT Astra Serif" w:hAnsi="PT Astra Serif"/>
          <w:b w:val="false"/>
          <w:bCs w:val="false"/>
          <w:color w:val="000000"/>
          <w:sz w:val="24"/>
          <w:szCs w:val="24"/>
        </w:rPr>
        <w:t>- письмо АО «Тулатеплосеть» от 06.02.2026 № 135 (Приложение 14).</w:t>
      </w:r>
    </w:p>
    <w:p>
      <w:pPr>
        <w:pStyle w:val="Normal"/>
        <w:ind w:firstLine="709"/>
        <w:jc w:val="both"/>
        <w:rPr>
          <w:rFonts w:ascii="PT Astra Serif" w:hAnsi="PT Astra Serif"/>
          <w:color w:val="000000"/>
          <w:sz w:val="24"/>
          <w:szCs w:val="24"/>
        </w:rPr>
      </w:pPr>
      <w:r>
        <w:rPr>
          <w:rFonts w:ascii="PT Astra Serif" w:hAnsi="PT Astra Serif"/>
          <w:b/>
          <w:color w:val="000000"/>
          <w:sz w:val="24"/>
          <w:szCs w:val="24"/>
          <w:u w:val="single"/>
        </w:rPr>
        <w:t>Порядок приема заявок на участие в аукционе, внесения и возврата задатка</w:t>
      </w:r>
    </w:p>
    <w:p>
      <w:pPr>
        <w:pStyle w:val="Normal"/>
        <w:ind w:firstLine="709"/>
        <w:jc w:val="both"/>
        <w:rPr>
          <w:rFonts w:ascii="PT Astra Serif" w:hAnsi="PT Astra Serif"/>
          <w:color w:val="000000"/>
          <w:sz w:val="24"/>
          <w:szCs w:val="24"/>
        </w:rPr>
      </w:pPr>
      <w:r>
        <w:rPr>
          <w:rFonts w:ascii="PT Astra Serif" w:hAnsi="PT Astra Serif"/>
          <w:bCs/>
          <w:color w:val="000000"/>
          <w:sz w:val="24"/>
          <w:szCs w:val="24"/>
        </w:rPr>
        <w:t>Для участия в аукционе заявителю необходимо иметь электронную подпись, оформленную в соответствии с требованиями действующего законодательства удостоверяющим центром (далее - ЭП), а также пройти регистрацию (аккредитацию) на электронной площадке в соответствии с регламентом и инструкциями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Регистрация на электронной площадке осуществляется без взимания платы.</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Информация по получению ЭП и регистрации на электронной площадке указана в регламенте и инструкциях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инструкциями оператора электронной площадки.</w:t>
      </w:r>
    </w:p>
    <w:p>
      <w:pPr>
        <w:pStyle w:val="Normal"/>
        <w:shd w:val="clear" w:color="auto" w:fill="FFFFFF"/>
        <w:ind w:firstLine="709"/>
        <w:jc w:val="both"/>
        <w:rPr/>
      </w:pPr>
      <w:r>
        <w:rPr>
          <w:rFonts w:ascii="PT Astra Serif" w:hAnsi="PT Astra Serif"/>
          <w:b/>
          <w:bCs/>
          <w:i/>
          <w:color w:val="000000"/>
          <w:sz w:val="24"/>
          <w:szCs w:val="24"/>
          <w:u w:val="single"/>
        </w:rPr>
        <w:t>Регистрация на и</w:t>
      </w:r>
      <w:r>
        <w:rPr>
          <w:rFonts w:ascii="PT Astra Serif" w:hAnsi="PT Astra Serif"/>
          <w:b/>
          <w:i/>
          <w:color w:val="000000"/>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27">
        <w:r>
          <w:rPr>
            <w:rStyle w:val="Hyperlink"/>
            <w:rFonts w:ascii="PT Astra Serif" w:hAnsi="PT Astra Serif"/>
            <w:b/>
            <w:i/>
            <w:color w:val="000000"/>
            <w:sz w:val="24"/>
            <w:szCs w:val="24"/>
          </w:rPr>
          <w:t>www.torgi.gov.ru</w:t>
        </w:r>
      </w:hyperlink>
      <w:r>
        <w:rPr>
          <w:rFonts w:ascii="PT Astra Serif" w:hAnsi="PT Astra Serif"/>
          <w:bCs/>
          <w:i/>
          <w:color w:val="000000"/>
          <w:sz w:val="24"/>
          <w:szCs w:val="24"/>
        </w:rPr>
        <w:t>.</w:t>
      </w:r>
      <w:r>
        <w:rPr>
          <w:rFonts w:ascii="PT Astra Serif" w:hAnsi="PT Astra Serif"/>
          <w:bCs/>
          <w:color w:val="000000"/>
          <w:sz w:val="24"/>
          <w:szCs w:val="24"/>
        </w:rPr>
        <w:t xml:space="preserve"> </w:t>
      </w:r>
      <w:r>
        <w:rPr>
          <w:rFonts w:ascii="PT Astra Serif" w:hAnsi="PT Astra Serif"/>
          <w:color w:val="000000"/>
          <w:sz w:val="24"/>
          <w:szCs w:val="24"/>
        </w:rPr>
        <w:t>Для участия в торгах по реализации государственного или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color w:val="000000"/>
          <w:sz w:val="24"/>
          <w:szCs w:val="24"/>
        </w:rPr>
      </w:pPr>
      <w:r>
        <w:rPr>
          <w:rFonts w:ascii="PT Astra Serif" w:hAnsi="PT Astra Serif"/>
          <w:color w:val="000000"/>
          <w:sz w:val="24"/>
          <w:szCs w:val="24"/>
        </w:rPr>
        <w:t>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w:t>
      </w:r>
    </w:p>
    <w:p>
      <w:pPr>
        <w:pStyle w:val="Normal"/>
        <w:shd w:val="clear" w:color="auto" w:fill="FFFFFF"/>
        <w:ind w:firstLine="709"/>
        <w:jc w:val="both"/>
        <w:rPr>
          <w:rFonts w:ascii="PT Astra Serif" w:hAnsi="PT Astra Serif"/>
          <w:color w:val="000000"/>
          <w:sz w:val="24"/>
          <w:szCs w:val="24"/>
        </w:rPr>
      </w:pPr>
      <w:r>
        <w:rPr>
          <w:rFonts w:ascii="PT Astra Serif" w:hAnsi="PT Astra Serif"/>
          <w:color w:val="000000"/>
          <w:sz w:val="24"/>
          <w:szCs w:val="24"/>
        </w:rPr>
        <w:t>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перейти на сайт </w:t>
      </w:r>
      <w:r>
        <w:rPr>
          <w:rFonts w:ascii="PT Astra Serif" w:hAnsi="PT Astra Serif"/>
          <w:bCs/>
          <w:color w:val="000000"/>
          <w:sz w:val="24"/>
          <w:szCs w:val="24"/>
        </w:rPr>
        <w:t>torgi.gov.ru</w:t>
      </w:r>
      <w:r>
        <w:rPr>
          <w:rFonts w:ascii="PT Astra Serif" w:hAnsi="PT Astra Serif"/>
          <w:color w:val="000000"/>
          <w:sz w:val="24"/>
          <w:szCs w:val="24"/>
        </w:rPr>
        <w:t>,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w:t>
      </w:r>
      <w:r>
        <w:rPr>
          <w:rFonts w:ascii="PT Astra Serif" w:hAnsi="PT Astra Serif"/>
          <w:bCs/>
          <w:color w:val="000000"/>
          <w:sz w:val="24"/>
          <w:szCs w:val="24"/>
        </w:rPr>
        <w:t xml:space="preserve"> «Подписать и отправить»</w:t>
      </w:r>
      <w:r>
        <w:rPr>
          <w:rFonts w:ascii="PT Astra Serif" w:hAnsi="PT Astra Serif"/>
          <w:color w:val="000000"/>
          <w:sz w:val="24"/>
          <w:szCs w:val="24"/>
        </w:rPr>
        <w:t>. После чего участник будет зарегистрирован в ГИС Торги.</w:t>
      </w:r>
    </w:p>
    <w:p>
      <w:pPr>
        <w:pStyle w:val="Normal"/>
        <w:shd w:val="clear" w:color="auto" w:fill="FFFFFF"/>
        <w:ind w:firstLine="709"/>
        <w:jc w:val="both"/>
        <w:rPr>
          <w:rFonts w:ascii="PT Astra Serif" w:hAnsi="PT Astra Serif"/>
          <w:color w:val="000000"/>
          <w:sz w:val="24"/>
          <w:szCs w:val="24"/>
        </w:rPr>
      </w:pPr>
      <w:r>
        <w:rPr>
          <w:rFonts w:ascii="PT Astra Serif" w:hAnsi="PT Astra Serif"/>
          <w:color w:val="000000"/>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pPr>
      <w:r>
        <w:rPr>
          <w:rFonts w:ascii="PT Astra Serif" w:hAnsi="PT Astra Serif"/>
          <w:bCs/>
          <w:color w:val="000000"/>
          <w:sz w:val="24"/>
          <w:szCs w:val="24"/>
        </w:rPr>
        <w:t xml:space="preserve">По дополнительным вопросам по регистрации, необходимо перейти в раздел </w:t>
        <w:br/>
        <w:t>«Служба поддержки» (</w:t>
      </w:r>
      <w:hyperlink r:id="rId28">
        <w:r>
          <w:rPr>
            <w:rStyle w:val="Hyperlink"/>
            <w:rFonts w:ascii="PT Astra Serif" w:hAnsi="PT Astra Serif"/>
            <w:bCs/>
            <w:color w:val="000000"/>
            <w:sz w:val="24"/>
            <w:szCs w:val="24"/>
          </w:rPr>
          <w:t>https://torgi.gov.ru/new/cabinet/support/center</w:t>
        </w:r>
      </w:hyperlink>
      <w:r>
        <w:rPr>
          <w:rFonts w:ascii="PT Astra Serif" w:hAnsi="PT Astra Serif"/>
          <w:bCs/>
          <w:color w:val="000000"/>
          <w:sz w:val="24"/>
          <w:szCs w:val="24"/>
        </w:rPr>
        <w:t>) для ознакомления с </w:t>
      </w:r>
      <w:hyperlink r:id="rId29" w:tgtFrame="_blank">
        <w:r>
          <w:rPr>
            <w:rStyle w:val="Style7"/>
            <w:rFonts w:ascii="PT Astra Serif" w:hAnsi="PT Astra Serif"/>
            <w:bCs/>
            <w:color w:val="000000"/>
            <w:sz w:val="24"/>
            <w:szCs w:val="24"/>
            <w:u w:val="single"/>
          </w:rPr>
          <w:t>Информационными материалами</w:t>
        </w:r>
      </w:hyperlink>
      <w:r>
        <w:rPr>
          <w:rFonts w:ascii="PT Astra Serif" w:hAnsi="PT Astra Serif"/>
          <w:bCs/>
          <w:color w:val="000000"/>
          <w:sz w:val="24"/>
          <w:szCs w:val="24"/>
        </w:rPr>
        <w:t>, либо направить обращение в Службу поддержки.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Заявители подают заявку путем заполнения ее электронной формы, размещенной в открытой для доступа неограниченного круга лиц части электронной площадки в соответствии с Регламентом электронной площадки АО «Сбербанк-АСТ».</w:t>
      </w:r>
    </w:p>
    <w:p>
      <w:pPr>
        <w:pStyle w:val="Normal"/>
        <w:suppressAutoHyphens w:val="true"/>
        <w:ind w:firstLine="709"/>
        <w:jc w:val="both"/>
        <w:rPr>
          <w:rFonts w:ascii="PT Astra Serif" w:hAnsi="PT Astra Serif"/>
          <w:color w:val="000000"/>
          <w:sz w:val="24"/>
          <w:szCs w:val="24"/>
        </w:rPr>
      </w:pPr>
      <w:r>
        <w:rPr>
          <w:rFonts w:ascii="PT Astra Serif" w:hAnsi="PT Astra Serif"/>
          <w:color w:val="000000"/>
          <w:sz w:val="24"/>
          <w:szCs w:val="24"/>
        </w:rPr>
        <w:t>Заявки на участие в аукционе подаются лично заявителем в торговой секции «Приватизация, аренда и продажа прав» универсальной торговой платформе АО «Сбербанк-АСТ», либо представителем заявителя, зарегистрированным в торговой секции, из личного кабинета посредством штатного интерфейса.</w:t>
      </w:r>
    </w:p>
    <w:p>
      <w:pPr>
        <w:pStyle w:val="BodyTextIndent2"/>
        <w:widowControl w:val="false"/>
        <w:spacing w:lineRule="auto" w:line="240" w:before="0" w:after="0"/>
        <w:ind w:firstLine="709" w:left="0"/>
        <w:jc w:val="both"/>
        <w:rPr/>
      </w:pPr>
      <w:r>
        <w:rPr>
          <w:rFonts w:ascii="PT Astra Serif" w:hAnsi="PT Astra Serif"/>
          <w:b/>
          <w:bCs/>
          <w:i/>
          <w:color w:val="000000"/>
          <w:sz w:val="24"/>
          <w:szCs w:val="24"/>
          <w:u w:val="single"/>
        </w:rPr>
        <w:t>Регистрация на электронной площадке</w:t>
      </w:r>
      <w:r>
        <w:rPr>
          <w:rFonts w:ascii="PT Astra Serif" w:hAnsi="PT Astra Serif"/>
          <w:bCs/>
          <w:color w:val="000000"/>
          <w:sz w:val="24"/>
          <w:szCs w:val="24"/>
        </w:rPr>
        <w:t xml:space="preserve"> проводится в соответствии с проводится в соответствии с регламентом электронной площадки (</w:t>
      </w:r>
      <w:hyperlink r:id="rId30">
        <w:r>
          <w:rPr>
            <w:rStyle w:val="Hyperlink"/>
            <w:rFonts w:ascii="PT Astra Serif" w:hAnsi="PT Astra Serif"/>
            <w:bCs/>
            <w:color w:val="000000"/>
            <w:sz w:val="24"/>
            <w:szCs w:val="24"/>
          </w:rPr>
          <w:t>https://utp.sberbank-ast.ru/Bankruptcy/</w:t>
        </w:r>
      </w:hyperlink>
      <w:hyperlink r:id="rId31">
        <w:r>
          <w:rPr>
            <w:rStyle w:val="Hyperlink"/>
            <w:rFonts w:ascii="PT Astra Serif" w:hAnsi="PT Astra Serif"/>
            <w:bCs/>
            <w:color w:val="000000"/>
            <w:sz w:val="24"/>
            <w:szCs w:val="24"/>
          </w:rPr>
          <w:t xml:space="preserve"> Notice/</w:t>
        </w:r>
      </w:hyperlink>
      <w:hyperlink r:id="rId32">
        <w:r>
          <w:rPr>
            <w:rStyle w:val="Hyperlink"/>
            <w:rFonts w:ascii="PT Astra Serif" w:hAnsi="PT Astra Serif"/>
            <w:bCs/>
            <w:color w:val="000000"/>
            <w:sz w:val="24"/>
            <w:szCs w:val="24"/>
          </w:rPr>
          <w:t>1086/</w:t>
        </w:r>
      </w:hyperlink>
      <w:r>
        <w:rPr>
          <w:rStyle w:val="Hyperlink"/>
          <w:rFonts w:ascii="PT Astra Serif" w:hAnsi="PT Astra Serif"/>
          <w:bCs/>
          <w:color w:val="000000"/>
          <w:sz w:val="24"/>
          <w:szCs w:val="24"/>
        </w:rPr>
        <w:t>Instructions</w:t>
      </w:r>
      <w:r>
        <w:rPr>
          <w:rFonts w:ascii="PT Astra Serif" w:hAnsi="PT Astra Serif"/>
          <w:bCs/>
          <w:color w:val="000000"/>
          <w:sz w:val="24"/>
          <w:szCs w:val="24"/>
        </w:rPr>
        <w:t>).</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Для получения регистрации на электронной площадке заявители представляют оператору электронной площадки:</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 адрес электронной почты этого заявителя для направления оператором электронной площадки уведомлений и иной информации.</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Оператор электронной площадки не должен требовать от заявителя иные документы и информацию.</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заявителя на электронной площадке или отказывает ему в регистрации, и не позднее 1 рабочего дня, следующего за днем регистрации (отказа в регистрации) заявителя направляет ему уведомление о принятом решении.</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Оператор электронной площадки отказывает заявителю в регистрации в случае непредставления заявления по форме, установленной оператором электронной площадки, или информации.</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При принятии оператором электронной площадки решения об отказе в регистрации заявителя уведомление должно содержать основания отказа. Этот заявитель вправе вновь представить заявление и информацию, необходимые для получения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Регистрация заявителя на электронной площадке осуществляется на срок, который не должен превышать 3 года со дня направления оператором электронной площадки этому заявителю уведомления о принятии решения о его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Заявитель,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BodyTextIndent2"/>
        <w:widowControl w:val="false"/>
        <w:spacing w:lineRule="auto" w:line="240" w:before="0" w:after="0"/>
        <w:ind w:firstLine="709" w:left="0"/>
        <w:jc w:val="both"/>
        <w:rPr>
          <w:rFonts w:ascii="PT Astra Serif" w:hAnsi="PT Astra Serif"/>
          <w:color w:val="000000"/>
          <w:sz w:val="24"/>
          <w:szCs w:val="24"/>
        </w:rPr>
      </w:pPr>
      <w:r>
        <w:rPr>
          <w:rFonts w:ascii="PT Astra Serif" w:hAnsi="PT Astra Serif"/>
          <w:bCs/>
          <w:color w:val="000000"/>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color w:val="000000"/>
          <w:sz w:val="24"/>
          <w:szCs w:val="24"/>
        </w:rPr>
        <w:t>Приватизация, аренда и продажа прав</w:t>
      </w:r>
      <w:r>
        <w:rPr>
          <w:rFonts w:ascii="PT Astra Serif" w:hAnsi="PT Astra Serif"/>
          <w:bCs/>
          <w:color w:val="000000"/>
          <w:sz w:val="24"/>
          <w:szCs w:val="24"/>
        </w:rPr>
        <w:t xml:space="preserve">» из личного кабинета заявителя </w:t>
      </w:r>
      <w:r>
        <w:rPr>
          <w:rFonts w:ascii="PT Astra Serif" w:hAnsi="PT Astra Serif"/>
          <w:color w:val="000000"/>
          <w:sz w:val="24"/>
          <w:szCs w:val="24"/>
        </w:rPr>
        <w:t>(образец заявки приведен в Приложении 1 к настоящему информационному сообщению)</w:t>
      </w:r>
      <w:r>
        <w:rPr>
          <w:rFonts w:ascii="PT Astra Serif" w:hAnsi="PT Astra Serif"/>
          <w:bCs/>
          <w:color w:val="000000"/>
          <w:sz w:val="24"/>
          <w:szCs w:val="24"/>
        </w:rPr>
        <w:t>.</w:t>
      </w:r>
    </w:p>
    <w:p>
      <w:pPr>
        <w:pStyle w:val="BodyTextIndent2"/>
        <w:widowControl w:val="false"/>
        <w:spacing w:lineRule="auto" w:line="240" w:before="0" w:after="0"/>
        <w:ind w:firstLine="709" w:left="0"/>
        <w:jc w:val="both"/>
        <w:rPr/>
      </w:pPr>
      <w:r>
        <w:rPr>
          <w:rFonts w:ascii="PT Astra Serif" w:hAnsi="PT Astra Serif"/>
          <w:bCs/>
          <w:color w:val="000000"/>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33">
        <w:r>
          <w:rPr>
            <w:rStyle w:val="Hyperlink"/>
            <w:rFonts w:ascii="PT Astra Serif" w:hAnsi="PT Astra Serif"/>
            <w:bCs/>
            <w:color w:val="000000"/>
            <w:sz w:val="24"/>
            <w:szCs w:val="24"/>
          </w:rPr>
          <w:t>https://utp.sberbank-ast.ru/Bankruptcy/Notice/1640/Instructions</w:t>
        </w:r>
      </w:hyperlink>
      <w:r>
        <w:rPr>
          <w:rFonts w:ascii="PT Astra Serif" w:hAnsi="PT Astra Serif"/>
          <w:bCs/>
          <w:color w:val="000000"/>
          <w:sz w:val="24"/>
          <w:szCs w:val="24"/>
          <w:u w:val="single"/>
        </w:rPr>
        <w:t>.</w:t>
      </w:r>
    </w:p>
    <w:p>
      <w:pPr>
        <w:pStyle w:val="BodyTextIndent2"/>
        <w:widowControl w:val="false"/>
        <w:spacing w:lineRule="auto" w:line="240" w:before="0" w:after="0"/>
        <w:ind w:firstLine="709" w:left="0"/>
        <w:jc w:val="both"/>
        <w:rPr/>
      </w:pPr>
      <w:r>
        <w:rPr>
          <w:rFonts w:ascii="PT Astra Serif" w:hAnsi="PT Astra Serif"/>
          <w:bCs/>
          <w:color w:val="000000"/>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34">
        <w:r>
          <w:rPr>
            <w:rStyle w:val="Hyperlink"/>
            <w:rFonts w:ascii="PT Astra Serif" w:hAnsi="PT Astra Serif"/>
            <w:bCs/>
            <w:color w:val="000000"/>
            <w:sz w:val="24"/>
            <w:szCs w:val="24"/>
          </w:rPr>
          <w:t>http://www.sberbank-ast.ru/CAList.aspx</w:t>
        </w:r>
      </w:hyperlink>
      <w:r>
        <w:rPr>
          <w:rFonts w:ascii="PT Astra Serif" w:hAnsi="PT Astra Serif"/>
          <w:bCs/>
          <w:color w:val="000000"/>
          <w:sz w:val="24"/>
          <w:szCs w:val="24"/>
          <w:u w:val="single"/>
        </w:rPr>
        <w:t>.</w:t>
      </w:r>
    </w:p>
    <w:p>
      <w:pPr>
        <w:pStyle w:val="BodyTextIndent"/>
        <w:suppressAutoHyphens w:val="true"/>
        <w:ind w:firstLine="709" w:right="0"/>
        <w:rPr>
          <w:rFonts w:ascii="PT Astra Serif" w:hAnsi="PT Astra Serif"/>
          <w:b/>
          <w:i/>
          <w:i/>
          <w:color w:val="000000"/>
          <w:sz w:val="24"/>
          <w:szCs w:val="24"/>
          <w:u w:val="single"/>
        </w:rPr>
      </w:pPr>
      <w:r>
        <w:rPr>
          <w:rFonts w:ascii="PT Astra Serif" w:hAnsi="PT Astra Serif"/>
          <w:b/>
          <w:i/>
          <w:color w:val="000000"/>
          <w:sz w:val="24"/>
          <w:szCs w:val="24"/>
          <w:u w:val="single"/>
        </w:rPr>
      </w:r>
    </w:p>
    <w:p>
      <w:pPr>
        <w:pStyle w:val="BodyTextIndent"/>
        <w:suppressAutoHyphens w:val="true"/>
        <w:ind w:firstLine="709" w:right="0"/>
        <w:rPr>
          <w:rFonts w:ascii="PT Astra Serif" w:hAnsi="PT Astra Serif"/>
          <w:color w:val="000000"/>
          <w:sz w:val="24"/>
          <w:szCs w:val="24"/>
        </w:rPr>
      </w:pPr>
      <w:r>
        <w:rPr>
          <w:rFonts w:ascii="PT Astra Serif" w:hAnsi="PT Astra Serif"/>
          <w:b/>
          <w:i/>
          <w:color w:val="000000"/>
          <w:sz w:val="24"/>
          <w:szCs w:val="24"/>
          <w:u w:val="single"/>
        </w:rPr>
        <w:t>Для участия в аукционе заявители представляют в установленный в извещении о проведении аукциона срок следующие документы:</w:t>
      </w:r>
    </w:p>
    <w:p>
      <w:pPr>
        <w:pStyle w:val="BodyTextIndent"/>
        <w:suppressAutoHyphens w:val="true"/>
        <w:ind w:firstLine="709" w:right="0"/>
        <w:rPr>
          <w:rFonts w:ascii="PT Astra Serif" w:hAnsi="PT Astra Serif"/>
          <w:color w:val="000000"/>
          <w:sz w:val="24"/>
          <w:szCs w:val="24"/>
        </w:rPr>
      </w:pPr>
      <w:r>
        <w:rPr>
          <w:rFonts w:ascii="PT Astra Serif" w:hAnsi="PT Astra Serif"/>
          <w:color w:val="000000"/>
          <w:sz w:val="24"/>
          <w:szCs w:val="24"/>
        </w:rPr>
        <w:t>- заявку на участие в аукционе по установленной в извещении о проведении аукциона форме (Приложение 1) с указанием банковских реквизитов счета для возврата задатка;</w:t>
      </w:r>
    </w:p>
    <w:p>
      <w:pPr>
        <w:pStyle w:val="BodyTextIndent"/>
        <w:suppressAutoHyphens w:val="true"/>
        <w:ind w:firstLine="709" w:right="0"/>
        <w:rPr>
          <w:rFonts w:ascii="PT Astra Serif" w:hAnsi="PT Astra Serif"/>
          <w:color w:val="000000"/>
          <w:sz w:val="24"/>
          <w:szCs w:val="24"/>
        </w:rPr>
      </w:pPr>
      <w:r>
        <w:rPr>
          <w:rFonts w:ascii="PT Astra Serif" w:hAnsi="PT Astra Serif"/>
          <w:color w:val="000000"/>
          <w:sz w:val="24"/>
          <w:szCs w:val="24"/>
        </w:rPr>
        <w:t>- копии документов, удостоверяющих личность заявителя (для граждан);</w:t>
      </w:r>
    </w:p>
    <w:p>
      <w:pPr>
        <w:pStyle w:val="BodyTextIndent"/>
        <w:suppressAutoHyphens w:val="true"/>
        <w:ind w:firstLine="709" w:right="0"/>
        <w:rPr>
          <w:rFonts w:ascii="PT Astra Serif" w:hAnsi="PT Astra Serif"/>
          <w:color w:val="000000"/>
          <w:sz w:val="24"/>
          <w:szCs w:val="24"/>
        </w:rPr>
      </w:pPr>
      <w:r>
        <w:rPr>
          <w:rFonts w:ascii="PT Astra Serif" w:hAnsi="PT Astra Serif"/>
          <w:color w:val="000000"/>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BodyTextIndent"/>
        <w:suppressAutoHyphens w:val="true"/>
        <w:ind w:firstLine="709" w:right="0"/>
        <w:rPr>
          <w:rFonts w:ascii="PT Astra Serif" w:hAnsi="PT Astra Serif"/>
          <w:color w:val="000000"/>
          <w:sz w:val="24"/>
          <w:szCs w:val="24"/>
        </w:rPr>
      </w:pPr>
      <w:r>
        <w:rPr>
          <w:rFonts w:ascii="PT Astra Serif" w:hAnsi="PT Astra Serif"/>
          <w:color w:val="000000"/>
          <w:sz w:val="24"/>
          <w:szCs w:val="24"/>
        </w:rPr>
        <w:t>- документы, подтверждающие внесение задатка;</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 </w:t>
      </w:r>
      <w:r>
        <w:rPr>
          <w:rFonts w:cs="PT Astra Serif" w:ascii="PT Astra Serif" w:hAnsi="PT Astra Serif"/>
          <w:color w:val="000000"/>
          <w:sz w:val="24"/>
          <w:szCs w:val="24"/>
        </w:rPr>
        <w:t>представление документов, подтверждающих внесение задатка, признается заключением соглашения о задатке.</w:t>
      </w:r>
    </w:p>
    <w:p>
      <w:pPr>
        <w:pStyle w:val="Default"/>
        <w:ind w:firstLine="709"/>
        <w:jc w:val="both"/>
        <w:rPr>
          <w:rFonts w:ascii="PT Astra Serif" w:hAnsi="PT Astra Serif"/>
          <w:color w:val="000000"/>
          <w:sz w:val="24"/>
          <w:szCs w:val="24"/>
        </w:rPr>
      </w:pPr>
      <w:r>
        <w:rPr>
          <w:rFonts w:ascii="PT Astra Serif" w:hAnsi="PT Astra Serif"/>
          <w:i/>
          <w:color w:val="000000"/>
          <w:sz w:val="24"/>
          <w:szCs w:val="24"/>
          <w:u w:val="single"/>
        </w:rPr>
        <w:t>Указанные документы, прилагаемые к заявке, направляются оператору электронной площадки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и подписываются усиленной квалифицированной электронной подписью заявителя.</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Заявка и прилагаемые к ней документы направляются единовременно в соответствии с регламентом и инструкциями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оператора электронной площадки.</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3 (Трех) рабочих дней со дня поступления уведомления об отзыве заявки.</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Заявитель после отзыва заявки вправе повторно подать заявку до установленных даты и времени окончания срока приема заявок.</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Прием заявок прекращается оператором электронной площадки с помощью программных и технических средств в дату и время окончания срока приема заявок.</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После окончания срока приема заявок оператор электронной площадки направляет заявки для рассмотрения Организатору аукциона.</w:t>
      </w:r>
    </w:p>
    <w:p>
      <w:pPr>
        <w:pStyle w:val="Normal"/>
        <w:tabs>
          <w:tab w:val="clear" w:pos="708"/>
          <w:tab w:val="right" w:pos="0" w:leader="dot"/>
        </w:tabs>
        <w:ind w:firstLine="709"/>
        <w:jc w:val="both"/>
        <w:rPr>
          <w:rFonts w:ascii="PT Astra Serif" w:hAnsi="PT Astra Serif"/>
          <w:color w:val="000000"/>
          <w:sz w:val="24"/>
          <w:szCs w:val="24"/>
        </w:rPr>
      </w:pPr>
      <w:r>
        <w:rPr>
          <w:rFonts w:ascii="PT Astra Serif" w:hAnsi="PT Astra Serif"/>
          <w:color w:val="000000"/>
          <w:sz w:val="24"/>
          <w:szCs w:val="24"/>
        </w:rPr>
        <w:t xml:space="preserve">Для участия в аукционе </w:t>
      </w:r>
      <w:r>
        <w:rPr>
          <w:rFonts w:ascii="PT Astra Serif" w:hAnsi="PT Astra Serif"/>
          <w:b/>
          <w:color w:val="000000"/>
          <w:sz w:val="24"/>
          <w:szCs w:val="24"/>
          <w:u w:val="single"/>
        </w:rPr>
        <w:t>заявитель вносит задаток на счёт оператора электронной площадки по следующим реквизитам</w:t>
      </w:r>
      <w:r>
        <w:rPr>
          <w:rFonts w:ascii="PT Astra Serif" w:hAnsi="PT Astra Serif"/>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Наименование получателя: АО «Сбербанк-АСТ»</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ИНН: 7707308480</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КПП: 770401001</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Расчетный счет: 40702810300020038047</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Наименование банка получателя: ПАО «СБЕРБАНК РОССИИ» Г. МОСКВА</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БИК: 044525225</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Корреспондентский счет: 30101810400000000225</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В назначении платежа необходимо обязательно указать: Перечисление денежных средств в качестве задатка (депозита) (ИНН плательщика), НДС не облагается.</w:t>
      </w:r>
    </w:p>
    <w:p>
      <w:pPr>
        <w:pStyle w:val="Normal"/>
        <w:tabs>
          <w:tab w:val="clear" w:pos="708"/>
          <w:tab w:val="right" w:pos="0" w:leader="dot"/>
        </w:tabs>
        <w:ind w:firstLine="709"/>
        <w:jc w:val="both"/>
        <w:rPr>
          <w:rFonts w:ascii="PT Astra Serif" w:hAnsi="PT Astra Serif"/>
          <w:color w:val="000000"/>
          <w:sz w:val="24"/>
          <w:szCs w:val="24"/>
        </w:rPr>
      </w:pPr>
      <w:r>
        <w:rPr>
          <w:rFonts w:ascii="PT Astra Serif" w:hAnsi="PT Astra Serif"/>
          <w:color w:val="000000"/>
          <w:sz w:val="24"/>
          <w:szCs w:val="24"/>
        </w:rPr>
        <w:t>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w:t>
      </w:r>
    </w:p>
    <w:p>
      <w:pPr>
        <w:pStyle w:val="Normal"/>
        <w:tabs>
          <w:tab w:val="clear" w:pos="708"/>
          <w:tab w:val="right" w:pos="0" w:leader="dot"/>
        </w:tabs>
        <w:ind w:firstLine="709"/>
        <w:jc w:val="both"/>
        <w:rPr>
          <w:rFonts w:ascii="PT Astra Serif" w:hAnsi="PT Astra Serif"/>
          <w:color w:val="000000"/>
          <w:sz w:val="24"/>
          <w:szCs w:val="24"/>
        </w:rPr>
      </w:pPr>
      <w:r>
        <w:rPr>
          <w:rFonts w:ascii="PT Astra Serif" w:hAnsi="PT Astra Serif"/>
          <w:color w:val="000000"/>
          <w:sz w:val="24"/>
          <w:szCs w:val="24"/>
        </w:rPr>
        <w:t>Задаток считается внесенным с момента блокирования денежных средств в сумме задатка на лицевом счете Заявителя на электронной площадке.</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ab/>
        <w:t>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Оператор электронной площадки прекращает блокирование денежной суммы в размере задатка на лицевом счете заявителя (за исключением лица, признанного победителем аукциона, а также лиц, с которыми договор купли - продажи земельного участка заключается в соответствии с пунктами 13, 14 статьи 39.12 Земельного кодекса Российской Федерации) в течение одного дня, следующего за днем:</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 отмены аукциона;</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 отзыва заявки заявителем до окончания срока подачи заявок;</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 отказа заявителю в допуске к участию в аукционе;</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 публикации протокола о результатах аукциона (в случае, если заявитель не признан победителем аукциона).</w:t>
      </w:r>
    </w:p>
    <w:p>
      <w:pPr>
        <w:pStyle w:val="Normal"/>
        <w:ind w:firstLine="709"/>
        <w:jc w:val="both"/>
        <w:rPr/>
      </w:pPr>
      <w:r>
        <w:rPr>
          <w:rFonts w:eastAsia="Calibri" w:cs="Calibri" w:ascii="PT Astra Serif" w:hAnsi="PT Astra Serif"/>
          <w:color w:val="000000"/>
          <w:sz w:val="24"/>
          <w:szCs w:val="24"/>
          <w:lang w:eastAsia="en-US"/>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r:id="rId35">
        <w:r>
          <w:rPr>
            <w:rStyle w:val="Style7"/>
            <w:rFonts w:eastAsia="Calibri" w:cs="Calibri" w:ascii="PT Astra Serif" w:hAnsi="PT Astra Serif"/>
            <w:color w:val="000000"/>
            <w:sz w:val="24"/>
            <w:szCs w:val="24"/>
            <w:lang w:eastAsia="en-US"/>
          </w:rPr>
          <w:t>пунктом 13</w:t>
        </w:r>
      </w:hyperlink>
      <w:r>
        <w:rPr>
          <w:rFonts w:eastAsia="Calibri" w:cs="Calibri" w:ascii="PT Astra Serif" w:hAnsi="PT Astra Serif"/>
          <w:color w:val="000000"/>
          <w:sz w:val="24"/>
          <w:szCs w:val="24"/>
          <w:lang w:eastAsia="en-US"/>
        </w:rPr>
        <w:t xml:space="preserve">, </w:t>
      </w:r>
      <w:hyperlink r:id="rId36">
        <w:r>
          <w:rPr>
            <w:rStyle w:val="Style7"/>
            <w:rFonts w:eastAsia="Calibri" w:cs="Calibri" w:ascii="PT Astra Serif" w:hAnsi="PT Astra Serif"/>
            <w:color w:val="000000"/>
            <w:sz w:val="24"/>
            <w:szCs w:val="24"/>
            <w:lang w:eastAsia="en-US"/>
          </w:rPr>
          <w:t>14</w:t>
        </w:r>
      </w:hyperlink>
      <w:r>
        <w:rPr>
          <w:rFonts w:eastAsia="Calibri" w:cs="Calibri" w:ascii="PT Astra Serif" w:hAnsi="PT Astra Serif"/>
          <w:color w:val="000000"/>
          <w:sz w:val="24"/>
          <w:szCs w:val="24"/>
          <w:lang w:eastAsia="en-US"/>
        </w:rPr>
        <w:t xml:space="preserve">, </w:t>
      </w:r>
      <w:hyperlink r:id="rId37">
        <w:r>
          <w:rPr>
            <w:rStyle w:val="Style7"/>
            <w:rFonts w:eastAsia="Calibri" w:cs="Calibri" w:ascii="PT Astra Serif" w:hAnsi="PT Astra Serif"/>
            <w:color w:val="000000"/>
            <w:sz w:val="24"/>
            <w:szCs w:val="24"/>
            <w:lang w:eastAsia="en-US"/>
          </w:rPr>
          <w:t>20</w:t>
        </w:r>
      </w:hyperlink>
      <w:r>
        <w:rPr>
          <w:rFonts w:eastAsia="Calibri" w:cs="Calibri" w:ascii="PT Astra Serif" w:hAnsi="PT Astra Serif"/>
          <w:color w:val="000000"/>
          <w:sz w:val="24"/>
          <w:szCs w:val="24"/>
          <w:lang w:eastAsia="en-US"/>
        </w:rPr>
        <w:t xml:space="preserve"> или </w:t>
      </w:r>
      <w:hyperlink r:id="rId38">
        <w:r>
          <w:rPr>
            <w:rStyle w:val="Style7"/>
            <w:rFonts w:eastAsia="Calibri" w:cs="Calibri" w:ascii="PT Astra Serif" w:hAnsi="PT Astra Serif"/>
            <w:color w:val="000000"/>
            <w:sz w:val="24"/>
            <w:szCs w:val="24"/>
            <w:lang w:eastAsia="en-US"/>
          </w:rPr>
          <w:t>25</w:t>
        </w:r>
      </w:hyperlink>
      <w:r>
        <w:rPr>
          <w:rFonts w:eastAsia="Calibri" w:cs="Calibri" w:ascii="PT Astra Serif" w:hAnsi="PT Astra Serif"/>
          <w:color w:val="000000"/>
          <w:sz w:val="24"/>
          <w:szCs w:val="24"/>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купли-продажи земельного участка вследствие уклонения от заключения указанных договоров, не возвращаются.</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b/>
          <w:i/>
          <w:color w:val="000000"/>
          <w:sz w:val="24"/>
          <w:szCs w:val="24"/>
          <w:u w:val="single"/>
        </w:rPr>
        <w:t>Рассмотрение Заявок</w:t>
      </w:r>
      <w:r>
        <w:rPr>
          <w:rFonts w:ascii="PT Astra Serif" w:hAnsi="PT Astra Serif"/>
          <w:b/>
          <w:color w:val="000000"/>
          <w:sz w:val="24"/>
          <w:szCs w:val="24"/>
        </w:rPr>
        <w:t xml:space="preserve"> </w:t>
      </w:r>
      <w:r>
        <w:rPr>
          <w:rFonts w:ascii="PT Astra Serif" w:hAnsi="PT Astra Serif"/>
          <w:color w:val="000000"/>
          <w:sz w:val="24"/>
          <w:szCs w:val="24"/>
        </w:rPr>
        <w:t>осуществляется Организатором торгов.</w:t>
      </w:r>
    </w:p>
    <w:p>
      <w:pPr>
        <w:pStyle w:val="Default"/>
        <w:ind w:firstLine="709"/>
        <w:jc w:val="both"/>
        <w:rPr>
          <w:rFonts w:ascii="PT Astra Serif" w:hAnsi="PT Astra Serif"/>
          <w:color w:val="000000"/>
          <w:sz w:val="24"/>
          <w:szCs w:val="24"/>
        </w:rPr>
      </w:pPr>
      <w:r>
        <w:rPr>
          <w:rFonts w:ascii="PT Astra Serif" w:hAnsi="PT Astra Serif"/>
          <w:bCs/>
          <w:color w:val="000000"/>
          <w:sz w:val="24"/>
          <w:szCs w:val="24"/>
        </w:rPr>
        <w:t>Заявитель не допускается к участию в аукционе в следующих случаях:</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xml:space="preserve">- непредставление необходимых для участия в аукционе документов или представление недостоверных сведений; </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непоступление задатка на дату рассмотрения заявок на участие в аукционе;</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подача заявки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предусмотренной статьей 39.12 Земельного кодекса РФ реестре недобросовестных участников аукциона.</w:t>
      </w:r>
    </w:p>
    <w:p>
      <w:pPr>
        <w:pStyle w:val="Normal"/>
        <w:ind w:firstLine="709"/>
        <w:jc w:val="both"/>
        <w:rPr>
          <w:rFonts w:ascii="PT Astra Serif" w:hAnsi="PT Astra Serif"/>
          <w:color w:val="000000"/>
          <w:sz w:val="24"/>
          <w:szCs w:val="24"/>
        </w:rPr>
      </w:pPr>
      <w:r>
        <w:rPr>
          <w:rFonts w:eastAsia="Calibri" w:cs="PT Astra Serif" w:ascii="PT Astra Serif" w:hAnsi="PT Astra Serif"/>
          <w:color w:val="000000"/>
          <w:sz w:val="24"/>
          <w:szCs w:val="24"/>
          <w:lang w:eastAsia="en-US"/>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По результатам рассмотрения заявок Организатором торгов оператор электронной площадки в соответствии с регламентом и инструкциями направляет заявителям, допущенным к участию в аукционе и признанным участниками аукциона, а также заявителям, не допущенным к участию в аукционе, уведомления о принятых в их отношении решениях.</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Заявитель в соответствии с полученным им уведомлением участника аукциона считается участвующим в аукционе с даты и времени начала проведения аукциона, указанных в настоящем извещении.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В соответствии с пунктом 13 статьи 39.12 Земельного кодекса Российской Федерации, в случае, если аукцион признан несостоявшимся и только один заявитель признан участником аукциона, уполномоченный орган в течение 10 (Десяти) дней со дня подписания протокола рассмотрения заявок, обязан направить заявителю 2 (Два)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w:t>
      </w:r>
      <w:r>
        <w:rPr>
          <w:rFonts w:ascii="PT Astra Serif" w:hAnsi="PT Astra Serif"/>
          <w:color w:val="000000"/>
          <w:sz w:val="24"/>
          <w:szCs w:val="24"/>
        </w:rPr>
        <w:t xml:space="preserve"> </w:t>
      </w:r>
      <w:r>
        <w:rPr>
          <w:rFonts w:cs="PT Astra Serif" w:ascii="PT Astra Serif" w:hAnsi="PT Astra Serif"/>
          <w:color w:val="000000"/>
          <w:sz w:val="24"/>
          <w:szCs w:val="24"/>
        </w:rPr>
        <w:t>рассмотрения заявок.</w:t>
      </w:r>
    </w:p>
    <w:p>
      <w:pPr>
        <w:pStyle w:val="Normal"/>
        <w:ind w:firstLine="709"/>
        <w:jc w:val="both"/>
        <w:rPr/>
      </w:pPr>
      <w:r>
        <w:rPr>
          <w:rFonts w:ascii="PT Astra Serif" w:hAnsi="PT Astra Serif"/>
          <w:color w:val="000000"/>
          <w:sz w:val="24"/>
          <w:szCs w:val="24"/>
        </w:rPr>
        <w:t xml:space="preserve">В соответствии с пунктом 14 статьи 39.12 Земельного кодекса РФ, </w:t>
      </w:r>
      <w:r>
        <w:rPr>
          <w:rFonts w:cs="PT Astra Serif" w:ascii="PT Astra Serif" w:hAnsi="PT Astra Serif"/>
          <w:color w:val="000000"/>
          <w:sz w:val="24"/>
          <w:szCs w:val="24"/>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r:id="rId39">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r:id="rId40">
        <w:r>
          <w:rPr>
            <w:rStyle w:val="Style7"/>
            <w:rFonts w:cs="PT Astra Serif" w:ascii="PT Astra Serif" w:hAnsi="PT Astra Serif"/>
            <w:color w:val="000000"/>
            <w:sz w:val="24"/>
            <w:szCs w:val="24"/>
          </w:rPr>
          <w:t>пункте 9</w:t>
        </w:r>
      </w:hyperlink>
      <w:r>
        <w:rPr>
          <w:rFonts w:cs="PT Astra Serif" w:ascii="PT Astra Serif" w:hAnsi="PT Astra Serif"/>
          <w:color w:val="000000"/>
          <w:sz w:val="24"/>
          <w:szCs w:val="24"/>
        </w:rPr>
        <w:t xml:space="preserve"> настоящей статьи.</w:t>
      </w:r>
    </w:p>
    <w:p>
      <w:pPr>
        <w:pStyle w:val="Default"/>
        <w:ind w:firstLine="709"/>
        <w:jc w:val="both"/>
        <w:rPr>
          <w:rFonts w:ascii="PT Astra Serif" w:hAnsi="PT Astra Serif"/>
          <w:color w:val="000000"/>
          <w:sz w:val="24"/>
          <w:szCs w:val="24"/>
        </w:rPr>
      </w:pPr>
      <w:r>
        <w:rPr>
          <w:rFonts w:ascii="PT Astra Serif" w:hAnsi="PT Astra Serif"/>
          <w:b/>
          <w:i/>
          <w:color w:val="000000"/>
          <w:sz w:val="24"/>
          <w:szCs w:val="24"/>
          <w:u w:val="single"/>
        </w:rPr>
        <w:t>Проведение аукциона</w:t>
      </w:r>
      <w:r>
        <w:rPr>
          <w:rFonts w:ascii="PT Astra Serif" w:hAnsi="PT Astra Serif"/>
          <w:color w:val="000000"/>
          <w:sz w:val="24"/>
          <w:szCs w:val="24"/>
        </w:rPr>
        <w:t xml:space="preserve"> обеспечивается оператором электронной площадки в соответствии с регламентом и инструкциями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аукционе могут участвовать только заявители, допущенные к участию в аукционе и признанные участниками аукциона. Оператор электронной площадки обеспечивает участникам аукциона возможность принять участие в аукционе. Информация по участию в аукционе указана в регламенте и инструкциях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Процедура аукциона проводится в день и время, указанные в настоящем извещении.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Аукцион проводится в следующем порядке:</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Аукцион проводится путем последовательного повышения участниками начальной цены на величину, равную величине «шага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Срок для подачи предложений о цене обновляется автоматически после улучшения текущего предложения о цене. Время срока подачи предложений отсчитывается с момента подачи последнего (лучшего) предложения (или с начала подачи предложений о цене), отображается в закрытой части электронной площадки как расчетное время окончания торгов, а также как время, оставшееся до окончания торгов в минутах.</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Ход проведения процедуры подачи предложений о цене по лоту фиксируется оператором электронной площадки в электронном журнале. Журнал с лучшими предложениями о цене участников направляется в личный кабинет Организатору аукциона в течение одного часа со времени завершения торговой сессии.</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Default"/>
        <w:ind w:firstLine="709"/>
        <w:jc w:val="both"/>
        <w:rPr>
          <w:rFonts w:ascii="PT Astra Serif" w:hAnsi="PT Astra Serif"/>
          <w:color w:val="000000"/>
          <w:sz w:val="24"/>
          <w:szCs w:val="24"/>
        </w:rPr>
      </w:pPr>
      <w:r>
        <w:rPr>
          <w:rFonts w:ascii="PT Astra Serif" w:hAnsi="PT Astra Serif"/>
          <w:b/>
          <w:color w:val="000000"/>
          <w:sz w:val="24"/>
          <w:szCs w:val="24"/>
        </w:rPr>
        <w:t>Победителем аукциона признается участник аукциона, предложивший наибольшую цену предмета аукциона</w:t>
      </w:r>
      <w:r>
        <w:rPr>
          <w:rFonts w:ascii="PT Astra Serif" w:hAnsi="PT Astra Serif"/>
          <w:color w:val="000000"/>
          <w:sz w:val="24"/>
          <w:szCs w:val="24"/>
        </w:rPr>
        <w:t>.</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При проведении процедуры аукциона программными средствами оператора электронной площадки обеспечивается:</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Исключение возможности подачи участником предложения о цене предмета аукциона, не соответствующего увеличению текущей цены на величину равную/кратную «шагу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Уведомление участника в случае, если предложение этого участника о цене предмета аукциона не может быть принято в связи с подачей аналогичного предложения ранее другим участником.</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случае технических неполадок или DDoS-атак оператор электронной площадки принимает меры по восстановлению работы сайта и фиксирует аппаратно-программными средствами период отсутствия доступа к сайту по времени сервера.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После устранения неполадок и возобновления работы сайта оператор электронной площадки осуществляет перенос аукциона, назначенного и проводившегося в этот период времени на электронной площадке, причем проведение аукциона переносится на второй рабочий день начиная со дня, в который были зафиксированы указанные неполадки или DDoS-атаки.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случае переноса проведения аукциона оператор электронной площадки должным образом уведомляет Организатора аукциона, а также участников аукциона путем размещения в открытой части электронной площадки соответствующей новости, а также рассылки уведомлений в личные кабинеты указанных лиц.</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При возобновлении проведения аукциона оператор электронной площадки уведомляет всех участников аукциона, а также Организатора аукциона о назначении новой даты и времени проведения (продолжения) аукциона путем направления уведомлений в личные кабинеты указанных лиц, а также размещает новость о возобновлении аукциона в открытой части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При возобновлении проведения аукциона в электронной форме все ранее поданные предложения о цене предмета аукциона (при их наличии) сохраняются, аукцион возобновляется (продолжается) с последнего текущего предложения о цене предмета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Организатор торгов размещает протокол о результатах аукциона на сайте электронной площадки, а также на официальном сайте торгов в течение 1 (Одного) рабочего дня со дня его подписания.</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r>
    </w:p>
    <w:p>
      <w:pPr>
        <w:pStyle w:val="Default"/>
        <w:ind w:firstLine="709"/>
        <w:jc w:val="both"/>
        <w:rPr>
          <w:rFonts w:ascii="PT Astra Serif" w:hAnsi="PT Astra Serif"/>
          <w:color w:val="000000"/>
          <w:sz w:val="24"/>
          <w:szCs w:val="24"/>
        </w:rPr>
      </w:pPr>
      <w:r>
        <w:rPr>
          <w:rFonts w:ascii="PT Astra Serif" w:hAnsi="PT Astra Serif"/>
          <w:bCs/>
          <w:color w:val="000000"/>
          <w:sz w:val="24"/>
          <w:szCs w:val="24"/>
          <w:u w:val="single"/>
        </w:rPr>
        <w:t>Аукцион признается несостоявшимся в случаях, если: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по окончании срока подачи заявок была подана только одна заявка;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по окончании срока подачи заявок не подано ни одной заявки;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на основании результатов рассмотрения заявок принято решение об отказе в допуске к участию в аукционе всех заявителей;</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в случае если в течении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pPr>
        <w:pStyle w:val="Default"/>
        <w:ind w:firstLine="709"/>
        <w:jc w:val="both"/>
        <w:rPr>
          <w:rFonts w:ascii="PT Astra Serif" w:hAnsi="PT Astra Serif"/>
          <w:color w:val="000000"/>
          <w:sz w:val="24"/>
          <w:szCs w:val="24"/>
        </w:rPr>
      </w:pPr>
      <w:r>
        <w:rPr>
          <w:rFonts w:ascii="PT Astra Serif" w:hAnsi="PT Astra Serif"/>
          <w:b/>
          <w:i/>
          <w:color w:val="000000"/>
          <w:sz w:val="24"/>
          <w:szCs w:val="24"/>
        </w:rPr>
        <w:t>Размер взимаемой с победителя аукциона или иных лиц, с которыми заключается договор</w:t>
      </w:r>
      <w:r>
        <w:rPr>
          <w:rFonts w:ascii="PT Astra Serif" w:hAnsi="PT Astra Serif"/>
          <w:b/>
          <w:color w:val="000000"/>
          <w:sz w:val="24"/>
          <w:szCs w:val="24"/>
        </w:rPr>
        <w:t>,</w:t>
      </w:r>
      <w:r>
        <w:rPr>
          <w:rFonts w:ascii="PT Astra Serif" w:hAnsi="PT Astra Serif"/>
          <w:color w:val="000000"/>
          <w:sz w:val="24"/>
          <w:szCs w:val="24"/>
        </w:rPr>
        <w:t xml:space="preserve"> платы оператору электронной площадки (размер устанавливается в соответствии с постановлением Правительства РФ от 10.05.2018 № 564) - не взимается.</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Приложения:</w:t>
      </w:r>
    </w:p>
    <w:p>
      <w:pPr>
        <w:pStyle w:val="Normal"/>
        <w:overflowPunct w:val="true"/>
        <w:ind w:firstLine="709"/>
        <w:jc w:val="both"/>
        <w:textAlignment w:val="baseline"/>
        <w:rPr>
          <w:rFonts w:ascii="PT Astra Serif" w:hAnsi="PT Astra Serif"/>
          <w:color w:val="000000"/>
          <w:sz w:val="24"/>
          <w:szCs w:val="24"/>
        </w:rPr>
      </w:pPr>
      <w:r>
        <w:rPr>
          <w:rFonts w:ascii="PT Astra Serif" w:hAnsi="PT Astra Serif"/>
          <w:color w:val="000000"/>
          <w:sz w:val="24"/>
          <w:szCs w:val="24"/>
        </w:rPr>
        <w:t>Приложение 1. Форма заявки на участие в аукционе по продаже земельного участка;</w:t>
      </w:r>
    </w:p>
    <w:p>
      <w:pPr>
        <w:pStyle w:val="Normal"/>
        <w:overflowPunct w:val="true"/>
        <w:ind w:firstLine="709"/>
        <w:jc w:val="both"/>
        <w:textAlignment w:val="baseline"/>
        <w:rPr>
          <w:rFonts w:ascii="PT Astra Serif" w:hAnsi="PT Astra Serif"/>
          <w:color w:val="000000"/>
          <w:sz w:val="24"/>
          <w:szCs w:val="24"/>
        </w:rPr>
      </w:pPr>
      <w:r>
        <w:rPr>
          <w:rFonts w:ascii="PT Astra Serif" w:hAnsi="PT Astra Serif"/>
          <w:color w:val="000000"/>
          <w:sz w:val="24"/>
          <w:szCs w:val="24"/>
        </w:rPr>
        <w:t>Приложение 2. Проект договора купли-продажи земельного участка;</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3. Выписка из ЕГРН от 05.05.2026 № КУВИ-001/2026-61384645;</w:t>
      </w:r>
    </w:p>
    <w:p>
      <w:pPr>
        <w:pStyle w:val="Normal"/>
        <w:ind w:firstLine="709"/>
        <w:jc w:val="both"/>
        <w:rPr>
          <w:rFonts w:ascii="PT Astra Serif" w:hAnsi="PT Astra Serif"/>
          <w:color w:val="000000"/>
          <w:sz w:val="24"/>
          <w:szCs w:val="24"/>
        </w:rPr>
      </w:pPr>
      <w:r>
        <w:rPr>
          <w:rFonts w:ascii="PT Astra Serif" w:hAnsi="PT Astra Serif"/>
          <w:bCs/>
          <w:iCs/>
          <w:color w:val="000000"/>
          <w:sz w:val="24"/>
          <w:szCs w:val="24"/>
          <w:lang w:bidi="ru-RU"/>
        </w:rPr>
        <w:t>Приложение 4. Выписка из ЕГРН от 29.05.2026 № КУВИ-001/2026-73215907;</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Приложение 5. Градостроительный план № РФ-71-2-26-0-00-2025-4120-0;</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6.</w:t>
      </w:r>
      <w:r>
        <w:rPr>
          <w:rFonts w:cs="PTAstraSerif-Regular" w:ascii="PT Astra Serif" w:hAnsi="PT Astra Serif"/>
          <w:color w:val="000000"/>
          <w:sz w:val="24"/>
          <w:szCs w:val="24"/>
        </w:rPr>
        <w:t xml:space="preserve"> Письмо инспекции Тульской области по государственной охране объектов культурного наследия от 30.04.2026 № 47-17/999</w:t>
      </w:r>
      <w:r>
        <w:rPr>
          <w:rFonts w:ascii="PT Astra Serif" w:hAnsi="PT Astra Serif"/>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Приложение 7. </w:t>
      </w:r>
      <w:r>
        <w:rPr>
          <w:rFonts w:cs="PTAstraSerif-Regular" w:ascii="PT Astra Serif" w:hAnsi="PT Astra Serif"/>
          <w:color w:val="000000"/>
          <w:sz w:val="24"/>
          <w:szCs w:val="24"/>
        </w:rPr>
        <w:t>Градостроительный план № РФ-71-2-26-0-00-2026-5330-0</w:t>
      </w:r>
      <w:r>
        <w:rPr>
          <w:rFonts w:ascii="PT Astra Serif" w:hAnsi="PT Astra Serif"/>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8. Письмо инспекции Тульской области по государственной охране объектов культурного наследия от 19.02.2026 № 47-17/344;</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9. Письмо АО «Тулагоргаз» от 04.05.2026 № Исх-1594;</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10. Письмо АО «Тулагоргаз» от 25.02.2026 № Исх-635;</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11. Письмо АО «Тулагорводоканал» от 29.04.2026 № 2-25/9689-26;</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12. Письмо АО «Тулагорводоканал» от 02.06.2026 № 2-25/12727-26;</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13. Письмо АО «Тулатеплосеть» от 24.04.2026 № 490/1;</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14. Письмо АО «Тулатеплосеть» от 06.02.2026 № 135.</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s="PTAstraSerif-Regular"/>
          <w:color w:val="000000"/>
          <w:sz w:val="24"/>
          <w:szCs w:val="24"/>
        </w:rPr>
      </w:pPr>
      <w:r>
        <w:rPr>
          <w:rFonts w:cs="PTAstraSerif-Regular" w:ascii="PT Astra Serif" w:hAnsi="PT Astra Serif"/>
          <w:color w:val="000000"/>
          <w:sz w:val="24"/>
          <w:szCs w:val="24"/>
        </w:rPr>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p>
      <w:pPr>
        <w:pStyle w:val="Normal"/>
        <w:widowControl/>
        <w:bidi w:val="0"/>
        <w:spacing w:before="0" w:after="0"/>
        <w:ind w:hanging="0" w:left="0" w:right="0"/>
        <w:jc w:val="center"/>
        <w:rPr>
          <w:rFonts w:ascii="PT Astra Serif" w:hAnsi="PT Astra Serif"/>
          <w:color w:val="000000"/>
          <w:sz w:val="24"/>
          <w:szCs w:val="24"/>
        </w:rPr>
      </w:pPr>
      <w:r>
        <w:rPr>
          <w:rFonts w:ascii="PT Astra Serif" w:hAnsi="PT Astra Serif"/>
          <w:color w:val="000000"/>
          <w:sz w:val="24"/>
          <w:szCs w:val="24"/>
        </w:rPr>
        <w:t>_________________________________________</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sectPr>
      <w:type w:val="nextPage"/>
      <w:pgSz w:w="11906" w:h="16838"/>
      <w:pgMar w:left="1418" w:right="567" w:gutter="0" w:header="0" w:top="993" w:footer="0" w:bottom="59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default"/>
  </w:font>
  <w:font w:name="Tahoma">
    <w:charset w:val="01"/>
    <w:family w:val="swiss"/>
    <w:pitch w:val="default"/>
  </w:font>
  <w:font w:name="PT Astra Serif">
    <w:charset w:val="01"/>
    <w:family w:val="roman"/>
    <w:pitch w:val="default"/>
  </w:font>
  <w:font w:name="NewsGothic_A.Z_PS">
    <w:charset w:val="01"/>
    <w:family w:val="roman"/>
    <w:pitch w:val="default"/>
  </w:font>
  <w:font w:name="Courier New">
    <w:charset w:val="01"/>
    <w:family w:val="roman"/>
    <w:pitch w:val="default"/>
  </w:font>
  <w:font w:name="Verdana">
    <w:charset w:val="01"/>
    <w:family w:val="swiss"/>
    <w:pitch w:val="default"/>
  </w:font>
</w:fonts>
</file>

<file path=word/settings.xml><?xml version="1.0" encoding="utf-8"?>
<w:settings xmlns:w="http://schemas.openxmlformats.org/wordprocessingml/2006/main">
  <w:zoom w:percent="10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7709f"/>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Normal"/>
    <w:next w:val="Normal"/>
    <w:link w:val="3"/>
    <w:qFormat/>
    <w:rsid w:val="00bf60df"/>
    <w:pPr>
      <w:keepNext w:val="true"/>
      <w:ind w:firstLine="567"/>
      <w:jc w:val="both"/>
      <w:outlineLvl w:val="2"/>
    </w:pPr>
    <w:rPr>
      <w:sz w:val="28"/>
      <w:szCs w:val="20"/>
    </w:rPr>
  </w:style>
  <w:style w:type="paragraph" w:styleId="Heading4">
    <w:name w:val="heading 4"/>
    <w:basedOn w:val="Normal"/>
    <w:next w:val="Normal"/>
    <w:link w:val="4"/>
    <w:semiHidden/>
    <w:unhideWhenUsed/>
    <w:qFormat/>
    <w:rsid w:val="00bf60df"/>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2" w:customStyle="1">
    <w:name w:val="Текст сноски Знак"/>
    <w:basedOn w:val="DefaultParagraphFont"/>
    <w:qFormat/>
    <w:rsid w:val="00395789"/>
    <w:rPr/>
  </w:style>
  <w:style w:type="character" w:styleId="Style13">
    <w:name w:val="Символ сноски"/>
    <w:unhideWhenUsed/>
    <w:qFormat/>
    <w:rsid w:val="00395789"/>
    <w:rPr>
      <w:vertAlign w:val="superscript"/>
    </w:rPr>
  </w:style>
  <w:style w:type="character" w:styleId="user">
    <w:name w:val="Символ сноски (user)"/>
    <w:qFormat/>
    <w:rPr>
      <w:vertAlign w:val="superscript"/>
    </w:rPr>
  </w:style>
  <w:style w:type="character" w:styleId="FootnoteReference">
    <w:name w:val="footnote reference"/>
    <w:rPr>
      <w:vertAlign w:val="superscript"/>
    </w:rPr>
  </w:style>
  <w:style w:type="character" w:styleId="Style14" w:customStyle="1">
    <w:name w:val="Текст выноски Знак"/>
    <w:link w:val="BalloonText"/>
    <w:qFormat/>
    <w:rsid w:val="005f26b2"/>
    <w:rPr>
      <w:rFonts w:ascii="Tahoma" w:hAnsi="Tahoma" w:cs="Tahoma"/>
      <w:sz w:val="16"/>
      <w:szCs w:val="16"/>
    </w:rPr>
  </w:style>
  <w:style w:type="character" w:styleId="2" w:customStyle="1">
    <w:name w:val="Основной текст с отступом 2 Знак"/>
    <w:link w:val="BodyTextIndent2"/>
    <w:qFormat/>
    <w:rsid w:val="00e632a6"/>
    <w:rPr>
      <w:sz w:val="24"/>
      <w:szCs w:val="24"/>
    </w:rPr>
  </w:style>
  <w:style w:type="character" w:styleId="3" w:customStyle="1">
    <w:name w:val="Заголовок 3 Знак"/>
    <w:qFormat/>
    <w:rsid w:val="00bf60df"/>
    <w:rPr>
      <w:sz w:val="28"/>
    </w:rPr>
  </w:style>
  <w:style w:type="character" w:styleId="4" w:customStyle="1">
    <w:name w:val="Заголовок 4 Знак"/>
    <w:semiHidden/>
    <w:qFormat/>
    <w:rsid w:val="00bf60df"/>
    <w:rPr>
      <w:rFonts w:ascii="Calibri" w:hAnsi="Calibri"/>
      <w:b/>
      <w:bCs/>
      <w:sz w:val="28"/>
      <w:szCs w:val="28"/>
    </w:rPr>
  </w:style>
  <w:style w:type="character" w:styleId="21" w:customStyle="1">
    <w:name w:val="Основной текст 2 Знак"/>
    <w:basedOn w:val="DefaultParagraphFont"/>
    <w:link w:val="BodyText2"/>
    <w:qFormat/>
    <w:rsid w:val="00c556f4"/>
    <w:rPr/>
  </w:style>
  <w:style w:type="character" w:styleId="grame" w:customStyle="1">
    <w:name w:val="grame"/>
    <w:qFormat/>
    <w:rsid w:val="00ab0026"/>
    <w:rPr/>
  </w:style>
  <w:style w:type="character" w:styleId="spelle" w:customStyle="1">
    <w:name w:val="spelle"/>
    <w:qFormat/>
    <w:rsid w:val="00ab0026"/>
    <w:rPr/>
  </w:style>
  <w:style w:type="character" w:styleId="Style15" w:customStyle="1">
    <w:name w:val="Верхний колонтитул Знак"/>
    <w:qFormat/>
    <w:rsid w:val="00607106"/>
    <w:rPr>
      <w:sz w:val="24"/>
      <w:szCs w:val="24"/>
    </w:rPr>
  </w:style>
  <w:style w:type="character" w:styleId="Style16" w:customStyle="1">
    <w:name w:val="Нижний колонтитул Знак"/>
    <w:qFormat/>
    <w:rsid w:val="00607106"/>
    <w:rPr>
      <w:sz w:val="24"/>
      <w:szCs w:val="24"/>
    </w:rPr>
  </w:style>
  <w:style w:type="paragraph" w:styleId="Style17">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color w:val="FF0000"/>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8">
    <w:name w:val="Указатель"/>
    <w:basedOn w:val="Normal"/>
    <w:qFormat/>
    <w:pPr>
      <w:suppressLineNumbers/>
    </w:pPr>
    <w:rPr>
      <w:rFonts w:ascii="PT Astra Serif" w:hAnsi="PT Astra Serif" w:cs="FreeSans"/>
    </w:rPr>
  </w:style>
  <w:style w:type="paragraph" w:styleId="user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name w:val="Указатель (user)"/>
    <w:basedOn w:val="Normal"/>
    <w:qFormat/>
    <w:pPr>
      <w:suppressLineNumbers/>
    </w:pPr>
    <w:rPr>
      <w:rFonts w:ascii="PT Astra Serif" w:hAnsi="PT Astra Serif" w:cs="FreeSans"/>
    </w:rPr>
  </w:style>
  <w:style w:type="paragraph" w:styleId="BodyTextIndent3">
    <w:name w:val="Body Text Indent 3"/>
    <w:basedOn w:val="Normal"/>
    <w:qFormat/>
    <w:pPr>
      <w:ind w:left="180"/>
      <w:jc w:val="center"/>
    </w:pPr>
    <w:rPr>
      <w:b/>
      <w:bCs/>
      <w:color w:val="000000"/>
      <w:sz w:val="20"/>
    </w:rPr>
  </w:style>
  <w:style w:type="paragraph" w:styleId="PlainText">
    <w:name w:val="Plain Text"/>
    <w:basedOn w:val="Normal"/>
    <w:qFormat/>
    <w:pPr>
      <w:spacing w:beforeAutospacing="1" w:afterAutospacing="1"/>
    </w:pPr>
    <w:rPr/>
  </w:style>
  <w:style w:type="paragraph" w:styleId="BodyTextIndent">
    <w:name w:val="Body Text Indent"/>
    <w:basedOn w:val="Normal"/>
    <w:pPr>
      <w:tabs>
        <w:tab w:val="clear" w:pos="708"/>
        <w:tab w:val="left" w:pos="3420" w:leader="none"/>
      </w:tabs>
      <w:ind w:firstLine="540" w:right="76"/>
      <w:jc w:val="both"/>
    </w:pPr>
    <w:rPr>
      <w:sz w:val="20"/>
      <w:szCs w:val="20"/>
    </w:rPr>
  </w:style>
  <w:style w:type="paragraph" w:styleId="Style19" w:customStyle="1">
    <w:name w:val="готик текст"/>
    <w:qFormat/>
    <w:pPr>
      <w:widowControl/>
      <w:tabs>
        <w:tab w:val="clear" w:pos="708"/>
        <w:tab w:val="right" w:pos="4762" w:leader="dot"/>
      </w:tabs>
      <w:suppressAutoHyphens w:val="true"/>
      <w:bidi w:val="0"/>
      <w:spacing w:lineRule="atLeast" w:line="240" w:before="0" w:after="0"/>
      <w:ind w:firstLine="283"/>
      <w:jc w:val="both"/>
    </w:pPr>
    <w:rPr>
      <w:rFonts w:ascii="NewsGothic_A.Z_PS" w:hAnsi="NewsGothic_A.Z_PS" w:eastAsia="Times New Roman" w:cs="Times New Roman"/>
      <w:color w:val="000000"/>
      <w:kern w:val="0"/>
      <w:sz w:val="20"/>
      <w:szCs w:val="20"/>
      <w:lang w:val="ru-RU" w:eastAsia="ru-RU" w:bidi="ar-SA"/>
    </w:rPr>
  </w:style>
  <w:style w:type="paragraph" w:styleId="1" w:customStyle="1">
    <w:name w:val="Обычный (веб)1"/>
    <w:basedOn w:val="Normal"/>
    <w:qFormat/>
    <w:pPr>
      <w:spacing w:before="120" w:after="120"/>
      <w:ind w:firstLine="100" w:left="75" w:right="300"/>
      <w:jc w:val="both"/>
    </w:pPr>
    <w:rPr>
      <w:color w:val="616161"/>
      <w:sz w:val="17"/>
      <w:szCs w:val="17"/>
    </w:rPr>
  </w:style>
  <w:style w:type="paragraph" w:styleId="BodyText3">
    <w:name w:val="Body Text 3"/>
    <w:basedOn w:val="Normal"/>
    <w:qFormat/>
    <w:pPr/>
    <w:rPr>
      <w:color w:val="FF0000"/>
      <w:sz w:val="20"/>
      <w:szCs w:val="20"/>
    </w:rPr>
  </w:style>
  <w:style w:type="paragraph" w:styleId="CharChar1CharChar1CharChar" w:customStyle="1">
    <w:name w:val="Char Char Знак Знак1 Char Char1 Знак Знак Char Char"/>
    <w:basedOn w:val="Normal"/>
    <w:qFormat/>
    <w:rsid w:val="001c3b30"/>
    <w:pPr>
      <w:spacing w:beforeAutospacing="1" w:afterAutospacing="1"/>
    </w:pPr>
    <w:rPr>
      <w:rFonts w:ascii="Tahoma" w:hAnsi="Tahoma"/>
      <w:sz w:val="20"/>
      <w:szCs w:val="20"/>
      <w:lang w:val="en-US" w:eastAsia="en-US"/>
    </w:rPr>
  </w:style>
  <w:style w:type="paragraph" w:styleId="Style20" w:customStyle="1">
    <w:name w:val="Таблицы (моноширинный)"/>
    <w:basedOn w:val="Normal"/>
    <w:next w:val="Normal"/>
    <w:qFormat/>
    <w:rsid w:val="005826c1"/>
    <w:pPr>
      <w:widowControl w:val="false"/>
      <w:jc w:val="both"/>
    </w:pPr>
    <w:rPr>
      <w:rFonts w:ascii="Courier New" w:hAnsi="Courier New" w:cs="Courier New"/>
      <w:sz w:val="20"/>
      <w:szCs w:val="20"/>
    </w:rPr>
  </w:style>
  <w:style w:type="paragraph" w:styleId="ConsPlusNonformat" w:customStyle="1">
    <w:name w:val="ConsPlusNonformat"/>
    <w:qFormat/>
    <w:rsid w:val="00667a94"/>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FootnoteText">
    <w:name w:val="footnote text"/>
    <w:basedOn w:val="Normal"/>
    <w:link w:val="Style12"/>
    <w:rsid w:val="00395789"/>
    <w:pPr/>
    <w:rPr>
      <w:sz w:val="20"/>
      <w:szCs w:val="20"/>
    </w:rPr>
  </w:style>
  <w:style w:type="paragraph" w:styleId="NoSpacing">
    <w:name w:val="No Spacing"/>
    <w:uiPriority w:val="1"/>
    <w:qFormat/>
    <w:rsid w:val="00606980"/>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Style14"/>
    <w:qFormat/>
    <w:rsid w:val="005f26b2"/>
    <w:pPr/>
    <w:rPr>
      <w:rFonts w:ascii="Tahoma" w:hAnsi="Tahoma" w:cs="Tahoma"/>
      <w:sz w:val="16"/>
      <w:szCs w:val="16"/>
    </w:rPr>
  </w:style>
  <w:style w:type="paragraph" w:styleId="ConsPlusNormal" w:customStyle="1">
    <w:name w:val="ConsPlusNormal"/>
    <w:qFormat/>
    <w:rsid w:val="00992047"/>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7e62ba"/>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5" w:customStyle="1">
    <w:name w:val="Знак5 Знак Знак Знак"/>
    <w:basedOn w:val="Normal"/>
    <w:qFormat/>
    <w:rsid w:val="004d7206"/>
    <w:pPr>
      <w:spacing w:lineRule="exact" w:line="240" w:before="0" w:after="160"/>
    </w:pPr>
    <w:rPr>
      <w:rFonts w:ascii="Verdana" w:hAnsi="Verdana"/>
      <w:sz w:val="20"/>
      <w:szCs w:val="20"/>
      <w:lang w:val="en-US" w:eastAsia="en-US"/>
    </w:rPr>
  </w:style>
  <w:style w:type="paragraph" w:styleId="BodyTextIndent2">
    <w:name w:val="Body Text Indent 2"/>
    <w:basedOn w:val="Normal"/>
    <w:link w:val="2"/>
    <w:qFormat/>
    <w:rsid w:val="00e632a6"/>
    <w:pPr>
      <w:spacing w:lineRule="auto" w:line="480" w:before="0" w:after="120"/>
      <w:ind w:left="283"/>
    </w:pPr>
    <w:rPr/>
  </w:style>
  <w:style w:type="paragraph" w:styleId="s1" w:customStyle="1">
    <w:name w:val="s_1"/>
    <w:basedOn w:val="Normal"/>
    <w:qFormat/>
    <w:rsid w:val="00e632a6"/>
    <w:pPr>
      <w:spacing w:beforeAutospacing="1" w:afterAutospacing="1"/>
    </w:pPr>
    <w:rPr/>
  </w:style>
  <w:style w:type="paragraph" w:styleId="NormalWeb">
    <w:name w:val="Normal (Web)"/>
    <w:basedOn w:val="Normal"/>
    <w:uiPriority w:val="99"/>
    <w:unhideWhenUsed/>
    <w:qFormat/>
    <w:rsid w:val="00e632a6"/>
    <w:pPr>
      <w:spacing w:beforeAutospacing="1" w:afterAutospacing="1"/>
    </w:pPr>
    <w:rPr/>
  </w:style>
  <w:style w:type="paragraph" w:styleId="BodyText2">
    <w:name w:val="Body Text 2"/>
    <w:basedOn w:val="Normal"/>
    <w:link w:val="21"/>
    <w:qFormat/>
    <w:rsid w:val="00c556f4"/>
    <w:pPr>
      <w:spacing w:lineRule="auto" w:line="480" w:before="0" w:after="120"/>
    </w:pPr>
    <w:rPr>
      <w:sz w:val="20"/>
      <w:szCs w:val="20"/>
    </w:rPr>
  </w:style>
  <w:style w:type="paragraph" w:styleId="ListParagraph">
    <w:name w:val="List Paragraph"/>
    <w:basedOn w:val="Normal"/>
    <w:uiPriority w:val="34"/>
    <w:qFormat/>
    <w:rsid w:val="00ab0026"/>
    <w:pPr>
      <w:spacing w:beforeAutospacing="1" w:afterAutospacing="1"/>
    </w:pPr>
    <w:rPr/>
  </w:style>
  <w:style w:type="paragraph" w:styleId="Style21">
    <w:name w:val="Колонтитулы"/>
    <w:basedOn w:val="Normal"/>
    <w:qFormat/>
    <w:pPr/>
    <w:rPr/>
  </w:style>
  <w:style w:type="paragraph" w:styleId="user3">
    <w:name w:val="Колонтитулы (user)"/>
    <w:basedOn w:val="Normal"/>
    <w:qFormat/>
    <w:pPr/>
    <w:rPr/>
  </w:style>
  <w:style w:type="paragraph" w:styleId="Header">
    <w:name w:val="header"/>
    <w:basedOn w:val="Normal"/>
    <w:link w:val="Style15"/>
    <w:rsid w:val="00607106"/>
    <w:pPr>
      <w:tabs>
        <w:tab w:val="clear" w:pos="708"/>
        <w:tab w:val="center" w:pos="4677" w:leader="none"/>
        <w:tab w:val="right" w:pos="9355" w:leader="none"/>
      </w:tabs>
    </w:pPr>
    <w:rPr/>
  </w:style>
  <w:style w:type="paragraph" w:styleId="Footer">
    <w:name w:val="footer"/>
    <w:basedOn w:val="Normal"/>
    <w:link w:val="Style16"/>
    <w:rsid w:val="00607106"/>
    <w:pPr>
      <w:tabs>
        <w:tab w:val="clear" w:pos="708"/>
        <w:tab w:val="center" w:pos="4677" w:leader="none"/>
        <w:tab w:val="right" w:pos="9355" w:leader="none"/>
      </w:tabs>
    </w:pPr>
    <w:rPr/>
  </w:style>
  <w:style w:type="paragraph" w:styleId="Style22">
    <w:name w:val="Содержимое таблицы"/>
    <w:basedOn w:val="Normal"/>
    <w:qFormat/>
    <w:pPr>
      <w:widowControl w:val="false"/>
      <w:suppressLineNumbers/>
    </w:pPr>
    <w:rPr/>
  </w:style>
  <w:style w:type="paragraph" w:styleId="Style23">
    <w:name w:val="Заголовок таблицы"/>
    <w:basedOn w:val="Style22"/>
    <w:qFormat/>
    <w:pPr>
      <w:suppressLineNumbers/>
      <w:jc w:val="center"/>
    </w:pPr>
    <w:rPr>
      <w:b/>
      <w:bCs/>
    </w:rPr>
  </w:style>
  <w:style w:type="numbering" w:styleId="Style24"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ZO@cityadm.tula.ru" TargetMode="External"/><Relationship Id="rId3" Type="http://schemas.openxmlformats.org/officeDocument/2006/relationships/hyperlink" Target="https://utp.sberbank-ast.ru/AP" TargetMode="External"/><Relationship Id="rId4" Type="http://schemas.openxmlformats.org/officeDocument/2006/relationships/hyperlink" Target="http://utp.sberbank-ast.ru/" TargetMode="External"/><Relationship Id="rId5" Type="http://schemas.openxmlformats.org/officeDocument/2006/relationships/hyperlink" Target="mailto:KIZO@cityadm.tula.ru" TargetMode="External"/><Relationship Id="rId6" Type="http://schemas.openxmlformats.org/officeDocument/2006/relationships/hyperlink" Target="http://utp.sberbank-ast.ru/" TargetMode="External"/><Relationship Id="rId7" Type="http://schemas.openxmlformats.org/officeDocument/2006/relationships/hyperlink" Target="http://utp.sberbank-ast.ru/" TargetMode="External"/><Relationship Id="rId8" Type="http://schemas.openxmlformats.org/officeDocument/2006/relationships/hyperlink" Target="https://login.consultant.ru/link/?req=doc&amp;base=RZR&amp;n=483141&amp;dst=689" TargetMode="External"/><Relationship Id="rId9" Type="http://schemas.openxmlformats.org/officeDocument/2006/relationships/hyperlink" Target="https://login.consultant.ru/link/?req=doc&amp;base=RZR&amp;n=483141&amp;dst=2772" TargetMode="External"/><Relationship Id="rId10" Type="http://schemas.openxmlformats.org/officeDocument/2006/relationships/hyperlink" Target="https://login.consultant.ru/link/?req=doc&amp;base=RZR&amp;n=483141&amp;dst=2777" TargetMode="External"/><Relationship Id="rId11" Type="http://schemas.openxmlformats.org/officeDocument/2006/relationships/hyperlink" Target="https://login.consultant.ru/link/?req=doc&amp;base=RZR&amp;n=483141&amp;dst=2780" TargetMode="External"/><Relationship Id="rId12" Type="http://schemas.openxmlformats.org/officeDocument/2006/relationships/hyperlink" Target="https://login.consultant.ru/link/?req=doc&amp;base=RZR&amp;n=483141&amp;dst=2465" TargetMode="External"/><Relationship Id="rId13" Type="http://schemas.openxmlformats.org/officeDocument/2006/relationships/hyperlink" Target="https://login.consultant.ru/link/?req=doc&amp;base=RZR&amp;n=483141&amp;dst=689" TargetMode="External"/><Relationship Id="rId14" Type="http://schemas.openxmlformats.org/officeDocument/2006/relationships/hyperlink" Target="https://login.consultant.ru/link/?req=doc&amp;base=RZR&amp;n=483141&amp;dst=690" TargetMode="External"/><Relationship Id="rId15" Type="http://schemas.openxmlformats.org/officeDocument/2006/relationships/hyperlink" Target="https://login.consultant.ru/link/?req=doc&amp;base=RZR&amp;n=483141&amp;dst=702" TargetMode="External"/><Relationship Id="rId16" Type="http://schemas.openxmlformats.org/officeDocument/2006/relationships/hyperlink" Target="https://login.consultant.ru/link/?req=doc&amp;base=RZR&amp;n=483141&amp;dst=101232" TargetMode="External"/><Relationship Id="rId17" Type="http://schemas.openxmlformats.org/officeDocument/2006/relationships/hyperlink" Target="https://login.consultant.ru/link/?req=doc&amp;base=RZR&amp;n=483141&amp;dst=689" TargetMode="External"/><Relationship Id="rId18" Type="http://schemas.openxmlformats.org/officeDocument/2006/relationships/hyperlink" Target="https://login.consultant.ru/link/?req=doc&amp;base=RZR&amp;n=483141&amp;dst=2772" TargetMode="External"/><Relationship Id="rId19" Type="http://schemas.openxmlformats.org/officeDocument/2006/relationships/hyperlink" Target="https://login.consultant.ru/link/?req=doc&amp;base=RZR&amp;n=483141&amp;dst=2777" TargetMode="External"/><Relationship Id="rId20" Type="http://schemas.openxmlformats.org/officeDocument/2006/relationships/hyperlink" Target="https://login.consultant.ru/link/?req=doc&amp;base=RZR&amp;n=483141&amp;dst=2780" TargetMode="External"/><Relationship Id="rId21" Type="http://schemas.openxmlformats.org/officeDocument/2006/relationships/hyperlink" Target="https://login.consultant.ru/link/?req=doc&amp;base=RZR&amp;n=483141&amp;dst=712" TargetMode="External"/><Relationship Id="rId22" Type="http://schemas.openxmlformats.org/officeDocument/2006/relationships/hyperlink" Target="https://login.consultant.ru/link/?req=doc&amp;base=RZR&amp;n=483141&amp;dst=714" TargetMode="External"/><Relationship Id="rId23" Type="http://schemas.openxmlformats.org/officeDocument/2006/relationships/hyperlink" Target="https://login.consultant.ru/link/?req=doc&amp;base=RZR&amp;n=483141&amp;dst=689" TargetMode="External"/><Relationship Id="rId24" Type="http://schemas.openxmlformats.org/officeDocument/2006/relationships/hyperlink" Target="https://login.consultant.ru/link/?req=doc&amp;base=RZR&amp;n=483141&amp;dst=2772" TargetMode="External"/><Relationship Id="rId25" Type="http://schemas.openxmlformats.org/officeDocument/2006/relationships/hyperlink" Target="https://login.consultant.ru/link/?req=doc&amp;base=RZR&amp;n=483141&amp;dst=2777" TargetMode="External"/><Relationship Id="rId26" Type="http://schemas.openxmlformats.org/officeDocument/2006/relationships/hyperlink" Target="https://login.consultant.ru/link/?req=doc&amp;base=RZR&amp;n=483141&amp;dst=2780" TargetMode="External"/><Relationship Id="rId27" Type="http://schemas.openxmlformats.org/officeDocument/2006/relationships/hyperlink" Target="http://www.torgi.gov.ru/" TargetMode="External"/><Relationship Id="rId28" Type="http://schemas.openxmlformats.org/officeDocument/2006/relationships/hyperlink" Target="https://torgi.gov.ru/new/cabinet/support/center" TargetMode="External"/><Relationship Id="rId29" Type="http://schemas.openxmlformats.org/officeDocument/2006/relationships/hyperlink" Target="https://torgi.gov.ru/new/public/infomaterials/reg" TargetMode="External"/><Relationship Id="rId30" Type="http://schemas.openxmlformats.org/officeDocument/2006/relationships/hyperlink" Target="https://utp.sberbank-ast.ru/Bankruptcy/" TargetMode="External"/><Relationship Id="rId31" Type="http://schemas.openxmlformats.org/officeDocument/2006/relationships/hyperlink" Target="https://utp.sberbank-ast.ru/Bankruptcy/Notice/" TargetMode="External"/><Relationship Id="rId32" Type="http://schemas.openxmlformats.org/officeDocument/2006/relationships/hyperlink" Target="https://utp.sberbank-ast.ru/Bankruptcy/Notice/1086/" TargetMode="External"/><Relationship Id="rId33" Type="http://schemas.openxmlformats.org/officeDocument/2006/relationships/hyperlink" Target="https://utp.sberbank-ast.ru/Bankruptcy/Notice/1640/Instructions" TargetMode="External"/><Relationship Id="rId34" Type="http://schemas.openxmlformats.org/officeDocument/2006/relationships/hyperlink" Target="http://www.sberbank-ast.ru/CAList.aspx" TargetMode="External"/><Relationship Id="rId35" Type="http://schemas.openxmlformats.org/officeDocument/2006/relationships/hyperlink" Target="https://login.consultant.ru/link/?req=doc&amp;base=RZR&amp;n=483141&amp;dst=689" TargetMode="External"/><Relationship Id="rId36" Type="http://schemas.openxmlformats.org/officeDocument/2006/relationships/hyperlink" Target="https://login.consultant.ru/link/?req=doc&amp;base=RZR&amp;n=483141&amp;dst=2772" TargetMode="External"/><Relationship Id="rId37" Type="http://schemas.openxmlformats.org/officeDocument/2006/relationships/hyperlink" Target="https://login.consultant.ru/link/?req=doc&amp;base=RZR&amp;n=483141&amp;dst=2777" TargetMode="External"/><Relationship Id="rId38" Type="http://schemas.openxmlformats.org/officeDocument/2006/relationships/hyperlink" Target="https://login.consultant.ru/link/?req=doc&amp;base=RZR&amp;n=483141&amp;dst=2780" TargetMode="External"/><Relationship Id="rId39" Type="http://schemas.openxmlformats.org/officeDocument/2006/relationships/hyperlink" Target="https://login.consultant.ru/link/?req=doc&amp;base=RZR&amp;n=483141&amp;dst=2771" TargetMode="External"/><Relationship Id="rId40" Type="http://schemas.openxmlformats.org/officeDocument/2006/relationships/hyperlink" Target="https://login.consultant.ru/link/?req=doc&amp;base=RZR&amp;n=483141&amp;dst=2769" TargetMode="External"/><Relationship Id="rId41" Type="http://schemas.openxmlformats.org/officeDocument/2006/relationships/fontTable" Target="fontTable.xml"/><Relationship Id="rId42" Type="http://schemas.openxmlformats.org/officeDocument/2006/relationships/settings" Target="settings.xml"/><Relationship Id="rId43" Type="http://schemas.openxmlformats.org/officeDocument/2006/relationships/theme" Target="theme/theme1.xml"/><Relationship Id="rId4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8BBB-2E8F-4F1C-940D-352E25FC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Application>LibreOffice/25.8.3.2$Linux_X86_64 LibreOffice_project/580$Build-2</Application>
  <AppVersion>15.0000</AppVersion>
  <Pages>11</Pages>
  <Words>4560</Words>
  <Characters>32016</Characters>
  <CharactersWithSpaces>36341</CharactersWithSpaces>
  <Paragraphs>251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2025-05-16T06:43:00Z</dcterms:created>
  <dc:creator>-</dc:creator>
  <dc:description/>
  <dc:language>ru-RU</dc:language>
  <cp:lastModifiedBy/>
  <cp:lastPrinted>2026-06-02T15:06:51Z</cp:lastPrinted>
  <dcterms:modified xsi:type="dcterms:W3CDTF">2026-06-02T17:54:38Z</dcterms:modified>
  <cp:revision>166</cp:revision>
  <dc:subject/>
  <dc:title>Аукцион по продаже земельных участков, находящихся в государственной собственности Тверской области</dc:title>
</cp:coreProperties>
</file>

<file path=docProps/custom.xml><?xml version="1.0" encoding="utf-8"?>
<Properties xmlns="http://schemas.openxmlformats.org/officeDocument/2006/custom-properties" xmlns:vt="http://schemas.openxmlformats.org/officeDocument/2006/docPropsVTypes"/>
</file>